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7B01F" w14:textId="77777777" w:rsidR="004D0100" w:rsidRDefault="004D0100" w:rsidP="004D0100">
      <w:pPr>
        <w:spacing w:before="120"/>
        <w:ind w:right="850"/>
        <w:jc w:val="center"/>
        <w:rPr>
          <w:b/>
          <w:sz w:val="30"/>
          <w:szCs w:val="30"/>
        </w:rPr>
      </w:pPr>
      <w:r w:rsidRPr="005C31DD">
        <w:rPr>
          <w:b/>
          <w:noProof/>
          <w:sz w:val="30"/>
          <w:szCs w:val="30"/>
        </w:rPr>
        <w:drawing>
          <wp:inline distT="0" distB="0" distL="0" distR="0" wp14:anchorId="3782AC86" wp14:editId="2B21510B">
            <wp:extent cx="619125" cy="733425"/>
            <wp:effectExtent l="0" t="0" r="0" b="0"/>
            <wp:docPr id="1" name="Picture 3" descr="JURMALA gerbonis_black_balts_f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RMALA gerbonis_black_balts_fon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C8BCD" w14:textId="77777777" w:rsidR="004D0100" w:rsidRPr="00420247" w:rsidRDefault="004D0100" w:rsidP="004D0100">
      <w:pPr>
        <w:spacing w:before="120" w:after="120"/>
        <w:ind w:right="850"/>
        <w:jc w:val="center"/>
        <w:rPr>
          <w:caps/>
          <w:sz w:val="28"/>
          <w:szCs w:val="28"/>
        </w:rPr>
      </w:pPr>
      <w:r w:rsidRPr="00420247">
        <w:rPr>
          <w:caps/>
          <w:sz w:val="28"/>
          <w:szCs w:val="28"/>
        </w:rPr>
        <w:t>JŪRMALAS DOME</w:t>
      </w:r>
    </w:p>
    <w:tbl>
      <w:tblPr>
        <w:tblW w:w="8505" w:type="dxa"/>
        <w:tblBorders>
          <w:top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4D0100" w:rsidRPr="00754A3B" w14:paraId="483C666A" w14:textId="77777777" w:rsidTr="00D45DDA">
        <w:trPr>
          <w:trHeight w:val="569"/>
        </w:trPr>
        <w:tc>
          <w:tcPr>
            <w:tcW w:w="8505" w:type="dxa"/>
          </w:tcPr>
          <w:p w14:paraId="6ABBF895" w14:textId="77777777" w:rsidR="004D0100" w:rsidRPr="00D52B3A" w:rsidRDefault="004D0100" w:rsidP="00D45DD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D52B3A">
              <w:rPr>
                <w:sz w:val="16"/>
                <w:szCs w:val="16"/>
              </w:rPr>
              <w:t>Jomas iela 1/5, Jūrmala, LV - 2015, tālrunis: 67093816,</w:t>
            </w:r>
            <w:r>
              <w:rPr>
                <w:sz w:val="16"/>
                <w:szCs w:val="16"/>
              </w:rPr>
              <w:t xml:space="preserve"> e-pasts: pasts@jurmala.lv</w:t>
            </w:r>
            <w:r w:rsidRPr="00D52B3A">
              <w:rPr>
                <w:sz w:val="16"/>
                <w:szCs w:val="16"/>
              </w:rPr>
              <w:t>, www.jurmala.lv</w:t>
            </w:r>
          </w:p>
        </w:tc>
      </w:tr>
    </w:tbl>
    <w:p w14:paraId="5031CBC5" w14:textId="77777777" w:rsidR="004D0100" w:rsidRDefault="004D0100" w:rsidP="004D0100">
      <w:pPr>
        <w:spacing w:before="120"/>
        <w:ind w:right="851"/>
        <w:jc w:val="center"/>
        <w:rPr>
          <w:rFonts w:ascii="Times New Roman Bold" w:hAnsi="Times New Roman Bold"/>
          <w:b/>
          <w:caps/>
          <w:sz w:val="26"/>
          <w:szCs w:val="26"/>
        </w:rPr>
      </w:pPr>
      <w:r w:rsidRPr="009962F2">
        <w:rPr>
          <w:rFonts w:ascii="Times New Roman Bold" w:hAnsi="Times New Roman Bold"/>
          <w:b/>
          <w:caps/>
          <w:sz w:val="28"/>
          <w:szCs w:val="28"/>
        </w:rPr>
        <w:t>LĒMUMS</w:t>
      </w:r>
    </w:p>
    <w:p w14:paraId="2163278D" w14:textId="77777777" w:rsidR="004D0100" w:rsidRDefault="004D0100" w:rsidP="004D0100">
      <w:pPr>
        <w:spacing w:after="360"/>
        <w:ind w:right="851"/>
        <w:jc w:val="center"/>
        <w:rPr>
          <w:b/>
          <w:sz w:val="26"/>
          <w:szCs w:val="26"/>
        </w:rPr>
      </w:pPr>
      <w:r w:rsidRPr="00D52B3A">
        <w:rPr>
          <w:rFonts w:eastAsia="Calibri"/>
          <w:sz w:val="26"/>
          <w:szCs w:val="26"/>
        </w:rPr>
        <w:t>Jūrmalā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544"/>
        <w:gridCol w:w="709"/>
        <w:gridCol w:w="2160"/>
      </w:tblGrid>
      <w:tr w:rsidR="004D0100" w:rsidRPr="003846AF" w14:paraId="1228A7B6" w14:textId="77777777" w:rsidTr="00D45DDA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F0FDAC" w14:textId="2B83E16D" w:rsidR="004D0100" w:rsidRPr="003846AF" w:rsidRDefault="00455C1A" w:rsidP="00D45DDA">
            <w:pPr>
              <w:ind w:left="-10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2023. gada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F40AB30" w14:textId="77777777" w:rsidR="004D0100" w:rsidRPr="003846AF" w:rsidRDefault="004D0100" w:rsidP="00D45D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EF44C71" w14:textId="77777777" w:rsidR="004D0100" w:rsidRPr="003846AF" w:rsidRDefault="004D0100" w:rsidP="00D45DDA">
            <w:pPr>
              <w:rPr>
                <w:b/>
                <w:sz w:val="26"/>
                <w:szCs w:val="26"/>
              </w:rPr>
            </w:pPr>
            <w:r w:rsidRPr="003846AF">
              <w:rPr>
                <w:b/>
                <w:sz w:val="26"/>
                <w:szCs w:val="26"/>
              </w:rPr>
              <w:t>Nr.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257C92" w14:textId="77777777" w:rsidR="004D0100" w:rsidRPr="003846AF" w:rsidRDefault="004D0100" w:rsidP="00D45DDA">
            <w:pPr>
              <w:ind w:right="-101"/>
              <w:jc w:val="right"/>
              <w:rPr>
                <w:b/>
                <w:sz w:val="26"/>
                <w:szCs w:val="26"/>
              </w:rPr>
            </w:pPr>
          </w:p>
        </w:tc>
      </w:tr>
    </w:tbl>
    <w:p w14:paraId="3CB6AD36" w14:textId="77777777" w:rsidR="004D0100" w:rsidRPr="003846AF" w:rsidRDefault="004D0100" w:rsidP="004D0100">
      <w:pPr>
        <w:rPr>
          <w:sz w:val="2"/>
          <w:szCs w:val="2"/>
        </w:rPr>
      </w:pPr>
    </w:p>
    <w:p w14:paraId="471FBE05" w14:textId="77777777" w:rsidR="004D0100" w:rsidRPr="003846AF" w:rsidRDefault="004D0100" w:rsidP="004D0100">
      <w:pPr>
        <w:rPr>
          <w:sz w:val="2"/>
          <w:szCs w:val="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79"/>
        <w:gridCol w:w="4676"/>
      </w:tblGrid>
      <w:tr w:rsidR="004D0100" w:rsidRPr="003846AF" w14:paraId="46EA963A" w14:textId="77777777" w:rsidTr="00D45DDA">
        <w:tc>
          <w:tcPr>
            <w:tcW w:w="4679" w:type="dxa"/>
          </w:tcPr>
          <w:p w14:paraId="27C991A5" w14:textId="03C570E2" w:rsidR="004D0100" w:rsidRPr="003846AF" w:rsidRDefault="00A30CE3" w:rsidP="00A30CE3">
            <w:pPr>
              <w:ind w:left="-10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 dzīvokļa īpašuma Nr. 77 Tērbatas ielā </w:t>
            </w:r>
            <w:r w:rsidR="00FF459E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3, Jūrmalā, pirmās izsoles atzīšanu par nenotikušu un otro izsoli</w:t>
            </w:r>
          </w:p>
        </w:tc>
        <w:tc>
          <w:tcPr>
            <w:tcW w:w="4676" w:type="dxa"/>
          </w:tcPr>
          <w:p w14:paraId="7AE539E2" w14:textId="77777777" w:rsidR="004D0100" w:rsidRPr="003846AF" w:rsidRDefault="004D0100" w:rsidP="00D45DDA">
            <w:pPr>
              <w:ind w:right="-116"/>
              <w:jc w:val="right"/>
              <w:rPr>
                <w:sz w:val="26"/>
                <w:szCs w:val="26"/>
              </w:rPr>
            </w:pPr>
            <w:r w:rsidRPr="003846AF">
              <w:rPr>
                <w:sz w:val="26"/>
                <w:szCs w:val="26"/>
              </w:rPr>
              <w:t>(</w:t>
            </w:r>
            <w:smartTag w:uri="schemas-tilde-lv/tildestengine" w:element="veidnes">
              <w:smartTagPr>
                <w:attr w:name="text" w:val="protokols"/>
                <w:attr w:name="baseform" w:val="protokols"/>
                <w:attr w:name="id" w:val="-1"/>
              </w:smartTagPr>
              <w:r w:rsidRPr="003846AF">
                <w:rPr>
                  <w:sz w:val="26"/>
                  <w:szCs w:val="26"/>
                </w:rPr>
                <w:t>protokols</w:t>
              </w:r>
            </w:smartTag>
            <w:r w:rsidRPr="003846AF">
              <w:rPr>
                <w:sz w:val="26"/>
                <w:szCs w:val="26"/>
              </w:rPr>
              <w:t xml:space="preserve"> Nr.</w:t>
            </w:r>
            <w:r>
              <w:rPr>
                <w:sz w:val="26"/>
                <w:szCs w:val="26"/>
              </w:rPr>
              <w:t> </w:t>
            </w:r>
            <w:r w:rsidRPr="003846A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3846A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 </w:t>
            </w:r>
            <w:r w:rsidRPr="003846AF">
              <w:rPr>
                <w:sz w:val="26"/>
                <w:szCs w:val="26"/>
              </w:rPr>
              <w:t>punkts)</w:t>
            </w:r>
          </w:p>
        </w:tc>
      </w:tr>
    </w:tbl>
    <w:p w14:paraId="3092041D" w14:textId="77777777" w:rsidR="004D0100" w:rsidRDefault="004D0100" w:rsidP="004D0100">
      <w:pPr>
        <w:pStyle w:val="ListParagraph"/>
        <w:spacing w:after="0" w:line="240" w:lineRule="auto"/>
        <w:ind w:left="0" w:right="-1"/>
        <w:jc w:val="both"/>
        <w:rPr>
          <w:rFonts w:ascii="Times New Roman" w:hAnsi="Times New Roman"/>
          <w:sz w:val="26"/>
          <w:szCs w:val="26"/>
          <w:lang w:val="lv-LV"/>
        </w:rPr>
      </w:pPr>
    </w:p>
    <w:p w14:paraId="76730CBA" w14:textId="55E287EB" w:rsidR="00B17123" w:rsidRPr="00FB5A70" w:rsidRDefault="00B17123" w:rsidP="00B171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Jūrmalas dome 2022. gada 24. novembrī pieņēma lēmumu Nr. 556</w:t>
      </w:r>
      <w:r w:rsidRPr="00FB5A70">
        <w:rPr>
          <w:sz w:val="26"/>
          <w:szCs w:val="26"/>
        </w:rPr>
        <w:t xml:space="preserve"> “Par</w:t>
      </w:r>
      <w:r>
        <w:rPr>
          <w:sz w:val="26"/>
          <w:szCs w:val="26"/>
        </w:rPr>
        <w:t xml:space="preserve"> dzīvokļa īpašuma Nr. 77 Tērbatas ielā </w:t>
      </w:r>
      <w:r w:rsidR="00FF459E">
        <w:rPr>
          <w:sz w:val="26"/>
          <w:szCs w:val="26"/>
        </w:rPr>
        <w:t>4</w:t>
      </w:r>
      <w:r>
        <w:rPr>
          <w:sz w:val="26"/>
          <w:szCs w:val="26"/>
        </w:rPr>
        <w:t xml:space="preserve">3, </w:t>
      </w:r>
      <w:r w:rsidRPr="00FB5A70">
        <w:rPr>
          <w:sz w:val="26"/>
          <w:szCs w:val="26"/>
        </w:rPr>
        <w:t>Jūrmalā, pirmās izsol</w:t>
      </w:r>
      <w:r>
        <w:rPr>
          <w:sz w:val="26"/>
          <w:szCs w:val="26"/>
        </w:rPr>
        <w:t>es organizēšanu”, ar kuru nolemts</w:t>
      </w:r>
      <w:r w:rsidRPr="00FB5A7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pārdot rakstiskā izsolē ar augšupejošu soli, </w:t>
      </w:r>
      <w:r w:rsidRPr="00FB5A70">
        <w:rPr>
          <w:sz w:val="26"/>
          <w:szCs w:val="26"/>
        </w:rPr>
        <w:t>Jūrmalas</w:t>
      </w:r>
      <w:r>
        <w:rPr>
          <w:sz w:val="26"/>
          <w:szCs w:val="26"/>
        </w:rPr>
        <w:t xml:space="preserve"> valstspi</w:t>
      </w:r>
      <w:r w:rsidRPr="00FB5A70">
        <w:rPr>
          <w:sz w:val="26"/>
          <w:szCs w:val="26"/>
        </w:rPr>
        <w:t>lsētas pašvaldībai piederošo</w:t>
      </w:r>
      <w:r>
        <w:rPr>
          <w:sz w:val="26"/>
          <w:szCs w:val="26"/>
        </w:rPr>
        <w:t xml:space="preserve"> dzīvokļa īpašumu Nr. 77 </w:t>
      </w:r>
      <w:r w:rsidR="00FF459E">
        <w:rPr>
          <w:sz w:val="26"/>
          <w:szCs w:val="26"/>
        </w:rPr>
        <w:t>Tērbatas ielā 4</w:t>
      </w:r>
      <w:r w:rsidRPr="00B17123">
        <w:rPr>
          <w:sz w:val="26"/>
          <w:szCs w:val="26"/>
        </w:rPr>
        <w:t>3</w:t>
      </w:r>
      <w:r>
        <w:rPr>
          <w:sz w:val="26"/>
          <w:szCs w:val="26"/>
        </w:rPr>
        <w:t>, Jūrmalā, kadastra Nr. 1300 901 3363, kas sastāv no dzīvokļa Nr. 77 ar kopējo platību 124,4 </w:t>
      </w:r>
      <w:r w:rsidRPr="00147E0C">
        <w:rPr>
          <w:sz w:val="26"/>
          <w:szCs w:val="26"/>
        </w:rPr>
        <w:t>m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un kopīpašuma 11990/715420 domājamās daļas no dzīvojamās mājas ar kadastra apzīmējumu 1300 020 3306 001</w:t>
      </w:r>
      <w:r w:rsidRPr="00F01ADD">
        <w:rPr>
          <w:sz w:val="26"/>
          <w:szCs w:val="26"/>
        </w:rPr>
        <w:t>,</w:t>
      </w:r>
      <w:r>
        <w:rPr>
          <w:sz w:val="26"/>
          <w:szCs w:val="26"/>
        </w:rPr>
        <w:t xml:space="preserve"> (turpmāk – dzīvokļa īpašums Nr. 77) un apstiprināja pirmās izsoles sākumcenu 76 300 </w:t>
      </w:r>
      <w:r w:rsidRPr="00312B2D">
        <w:rPr>
          <w:i/>
          <w:sz w:val="26"/>
          <w:szCs w:val="26"/>
        </w:rPr>
        <w:t>euro</w:t>
      </w:r>
      <w:r w:rsidRPr="00FB5A70">
        <w:rPr>
          <w:sz w:val="26"/>
          <w:szCs w:val="26"/>
        </w:rPr>
        <w:t>,</w:t>
      </w:r>
      <w:r>
        <w:rPr>
          <w:sz w:val="26"/>
          <w:szCs w:val="26"/>
        </w:rPr>
        <w:t xml:space="preserve"> pirmās</w:t>
      </w:r>
      <w:r w:rsidRPr="00FB5A70">
        <w:rPr>
          <w:sz w:val="26"/>
          <w:szCs w:val="26"/>
        </w:rPr>
        <w:t xml:space="preserve"> izsoles soli</w:t>
      </w:r>
      <w:r>
        <w:rPr>
          <w:sz w:val="26"/>
          <w:szCs w:val="26"/>
        </w:rPr>
        <w:t xml:space="preserve"> 5 341 </w:t>
      </w:r>
      <w:r w:rsidRPr="00A34005">
        <w:rPr>
          <w:i/>
          <w:sz w:val="26"/>
          <w:szCs w:val="26"/>
        </w:rPr>
        <w:t>eur</w:t>
      </w:r>
      <w:r>
        <w:rPr>
          <w:i/>
          <w:sz w:val="26"/>
          <w:szCs w:val="26"/>
        </w:rPr>
        <w:t>o</w:t>
      </w:r>
      <w:r w:rsidRPr="00FB5A70">
        <w:rPr>
          <w:sz w:val="26"/>
          <w:szCs w:val="26"/>
        </w:rPr>
        <w:t xml:space="preserve"> u</w:t>
      </w:r>
      <w:r>
        <w:rPr>
          <w:sz w:val="26"/>
          <w:szCs w:val="26"/>
        </w:rPr>
        <w:t>n izsoles reģistrācijas maksu 14</w:t>
      </w:r>
      <w:r w:rsidRPr="00FB5A70">
        <w:rPr>
          <w:sz w:val="26"/>
          <w:szCs w:val="26"/>
        </w:rPr>
        <w:t>0</w:t>
      </w:r>
      <w:r>
        <w:rPr>
          <w:sz w:val="26"/>
          <w:szCs w:val="26"/>
        </w:rPr>
        <w:t> </w:t>
      </w:r>
      <w:r w:rsidRPr="00A34005">
        <w:rPr>
          <w:i/>
          <w:sz w:val="26"/>
          <w:szCs w:val="26"/>
        </w:rPr>
        <w:t>eur</w:t>
      </w:r>
      <w:r>
        <w:rPr>
          <w:i/>
          <w:sz w:val="26"/>
          <w:szCs w:val="26"/>
        </w:rPr>
        <w:t>o</w:t>
      </w:r>
      <w:r w:rsidRPr="00FB5A70">
        <w:rPr>
          <w:sz w:val="26"/>
          <w:szCs w:val="26"/>
        </w:rPr>
        <w:t>, kā arī apstiprināja</w:t>
      </w:r>
      <w:r>
        <w:rPr>
          <w:sz w:val="26"/>
          <w:szCs w:val="26"/>
        </w:rPr>
        <w:t xml:space="preserve"> dzīvokļa īpašuma Nr. 77 rakstiskas </w:t>
      </w:r>
      <w:r w:rsidRPr="00FB5A70">
        <w:rPr>
          <w:sz w:val="26"/>
          <w:szCs w:val="26"/>
        </w:rPr>
        <w:t>izsoles noteikumus (turpmāk – izsoles noteikumi).</w:t>
      </w:r>
    </w:p>
    <w:p w14:paraId="36BC431E" w14:textId="32A0906F" w:rsidR="00B17123" w:rsidRPr="00FB5A70" w:rsidRDefault="00B17123" w:rsidP="00B17123">
      <w:pPr>
        <w:ind w:firstLine="709"/>
        <w:jc w:val="both"/>
        <w:rPr>
          <w:sz w:val="26"/>
          <w:szCs w:val="26"/>
        </w:rPr>
      </w:pPr>
      <w:r w:rsidRPr="00FB5A70">
        <w:rPr>
          <w:sz w:val="26"/>
          <w:szCs w:val="26"/>
        </w:rPr>
        <w:t>Note</w:t>
      </w:r>
      <w:r>
        <w:rPr>
          <w:sz w:val="26"/>
          <w:szCs w:val="26"/>
        </w:rPr>
        <w:t xml:space="preserve">iktajā termiņā līdz 2023. gada 13. janvārim </w:t>
      </w:r>
      <w:r w:rsidRPr="00FB5A70">
        <w:rPr>
          <w:sz w:val="26"/>
          <w:szCs w:val="26"/>
        </w:rPr>
        <w:t>nereģistrējās neviens izs</w:t>
      </w:r>
      <w:r>
        <w:rPr>
          <w:sz w:val="26"/>
          <w:szCs w:val="26"/>
        </w:rPr>
        <w:t xml:space="preserve">oles dalībnieks uz 2023. gada 18. janvārī </w:t>
      </w:r>
      <w:r w:rsidRPr="00FB5A70">
        <w:rPr>
          <w:sz w:val="26"/>
          <w:szCs w:val="26"/>
        </w:rPr>
        <w:t>paredzēto</w:t>
      </w:r>
      <w:r>
        <w:rPr>
          <w:sz w:val="26"/>
          <w:szCs w:val="26"/>
        </w:rPr>
        <w:t xml:space="preserve"> dzīvokļa īpašuma Nr. 77 </w:t>
      </w:r>
      <w:r w:rsidRPr="00FB5A70">
        <w:rPr>
          <w:sz w:val="26"/>
          <w:szCs w:val="26"/>
        </w:rPr>
        <w:t>izsoli. Atbilstoši izsoles noteikum</w:t>
      </w:r>
      <w:r>
        <w:rPr>
          <w:sz w:val="26"/>
          <w:szCs w:val="26"/>
        </w:rPr>
        <w:t>u 8.1.2. apakšpunktam – dzīvokļa īpašuma i</w:t>
      </w:r>
      <w:r w:rsidRPr="00FB5A70">
        <w:rPr>
          <w:sz w:val="26"/>
          <w:szCs w:val="26"/>
        </w:rPr>
        <w:t>zsole uzskatāma par nenotikušu, ja uz to nav reģistrējies neviens izsoles dalībnieks. Līdz ar to</w:t>
      </w:r>
      <w:r>
        <w:rPr>
          <w:sz w:val="26"/>
          <w:szCs w:val="26"/>
        </w:rPr>
        <w:t xml:space="preserve"> dzīvokļa īpašuma Nr. 77 izsole </w:t>
      </w:r>
      <w:r w:rsidRPr="00FB5A70">
        <w:rPr>
          <w:sz w:val="26"/>
          <w:szCs w:val="26"/>
        </w:rPr>
        <w:t>atzīstama par nenotikušu.</w:t>
      </w:r>
    </w:p>
    <w:p w14:paraId="6F67A000" w14:textId="77777777" w:rsidR="00B17123" w:rsidRDefault="00B17123" w:rsidP="00B17123">
      <w:pPr>
        <w:ind w:firstLine="709"/>
        <w:jc w:val="both"/>
        <w:rPr>
          <w:sz w:val="26"/>
          <w:szCs w:val="26"/>
        </w:rPr>
      </w:pPr>
      <w:r w:rsidRPr="00FB5A70">
        <w:rPr>
          <w:sz w:val="26"/>
          <w:szCs w:val="26"/>
        </w:rPr>
        <w:t>Publiskas personas mantas atsavināšanas likuma 32.</w:t>
      </w:r>
      <w:r>
        <w:rPr>
          <w:sz w:val="26"/>
          <w:szCs w:val="26"/>
        </w:rPr>
        <w:t> </w:t>
      </w:r>
      <w:r w:rsidRPr="00FB5A70">
        <w:rPr>
          <w:sz w:val="26"/>
          <w:szCs w:val="26"/>
        </w:rPr>
        <w:t>pa</w:t>
      </w:r>
      <w:r>
        <w:rPr>
          <w:sz w:val="26"/>
          <w:szCs w:val="26"/>
        </w:rPr>
        <w:t>nta pirmās daļas 1. punkts noteic</w:t>
      </w:r>
      <w:r w:rsidRPr="00FB5A70">
        <w:rPr>
          <w:sz w:val="26"/>
          <w:szCs w:val="26"/>
        </w:rPr>
        <w:t>, ka pēc pirmās nesekmīgās izsoles institūcija, kas organizē nekustamā īpašuma atsavināšanu, var rīkot otro izsoli ar augšupejošu soli, pazeminot izsoles sākumcenu ne vairāk kā par 20</w:t>
      </w:r>
      <w:r>
        <w:rPr>
          <w:sz w:val="26"/>
          <w:szCs w:val="26"/>
        </w:rPr>
        <w:t> </w:t>
      </w:r>
      <w:r w:rsidRPr="00FB5A70">
        <w:rPr>
          <w:sz w:val="26"/>
          <w:szCs w:val="26"/>
        </w:rPr>
        <w:t>procentiem no nosacītās cenas.</w:t>
      </w:r>
    </w:p>
    <w:p w14:paraId="7572127D" w14:textId="54A8240F" w:rsidR="00B17123" w:rsidRPr="00904AB5" w:rsidRDefault="00B17123" w:rsidP="00B17123">
      <w:pPr>
        <w:ind w:firstLine="709"/>
        <w:jc w:val="both"/>
        <w:rPr>
          <w:szCs w:val="24"/>
        </w:rPr>
      </w:pPr>
      <w:r>
        <w:rPr>
          <w:sz w:val="26"/>
          <w:szCs w:val="26"/>
        </w:rPr>
        <w:t>Dzīvokļa īpašumam Nr.</w:t>
      </w:r>
      <w:r>
        <w:t> </w:t>
      </w:r>
      <w:r>
        <w:rPr>
          <w:sz w:val="26"/>
          <w:szCs w:val="26"/>
        </w:rPr>
        <w:t xml:space="preserve">77 noteiktas šādas </w:t>
      </w:r>
      <w:r w:rsidRPr="00FB5A70">
        <w:rPr>
          <w:sz w:val="26"/>
          <w:szCs w:val="26"/>
        </w:rPr>
        <w:t>vērtības (</w:t>
      </w:r>
      <w:r w:rsidRPr="00A34005">
        <w:rPr>
          <w:i/>
          <w:sz w:val="26"/>
          <w:szCs w:val="26"/>
        </w:rPr>
        <w:t>eur</w:t>
      </w:r>
      <w:r>
        <w:rPr>
          <w:i/>
          <w:sz w:val="26"/>
          <w:szCs w:val="26"/>
        </w:rPr>
        <w:t>o</w:t>
      </w:r>
      <w:r w:rsidRPr="00FB5A70">
        <w:rPr>
          <w:sz w:val="26"/>
          <w:szCs w:val="26"/>
        </w:rPr>
        <w:t>):</w:t>
      </w:r>
      <w:r w:rsidRPr="00F9423A">
        <w:rPr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893"/>
        <w:gridCol w:w="1576"/>
        <w:gridCol w:w="1863"/>
        <w:gridCol w:w="1576"/>
        <w:gridCol w:w="2437"/>
      </w:tblGrid>
      <w:tr w:rsidR="00B17123" w:rsidRPr="00281BC1" w14:paraId="13F1E86E" w14:textId="77777777" w:rsidTr="00F92373">
        <w:trPr>
          <w:trHeight w:val="840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343B" w14:textId="75890ACA" w:rsidR="00B17123" w:rsidRPr="00DE1425" w:rsidRDefault="00B17123" w:rsidP="00B17123">
            <w:pPr>
              <w:ind w:right="32"/>
              <w:jc w:val="center"/>
              <w:rPr>
                <w:sz w:val="26"/>
                <w:szCs w:val="26"/>
              </w:rPr>
            </w:pPr>
            <w:r w:rsidRPr="00AF20CF">
              <w:rPr>
                <w:sz w:val="26"/>
                <w:szCs w:val="26"/>
              </w:rPr>
              <w:t>Sertificēta</w:t>
            </w:r>
            <w:r>
              <w:rPr>
                <w:sz w:val="26"/>
                <w:szCs w:val="26"/>
              </w:rPr>
              <w:t xml:space="preserve"> vērtētāja SIA “Grant Thornton Baltic</w:t>
            </w:r>
            <w:r w:rsidRPr="00AF20CF">
              <w:rPr>
                <w:sz w:val="26"/>
                <w:szCs w:val="26"/>
              </w:rPr>
              <w:t>” noteiktā tirgus vērtība</w:t>
            </w:r>
            <w:r>
              <w:rPr>
                <w:sz w:val="26"/>
                <w:szCs w:val="26"/>
              </w:rPr>
              <w:t xml:space="preserve"> 2022</w:t>
            </w:r>
            <w:r w:rsidRPr="00AF20C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 </w:t>
            </w:r>
            <w:r w:rsidRPr="00AF20CF">
              <w:rPr>
                <w:sz w:val="26"/>
                <w:szCs w:val="26"/>
              </w:rPr>
              <w:t>gada</w:t>
            </w:r>
            <w:r>
              <w:rPr>
                <w:sz w:val="26"/>
                <w:szCs w:val="26"/>
              </w:rPr>
              <w:t xml:space="preserve"> 27. oktobrī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87CA" w14:textId="77777777" w:rsidR="00B17123" w:rsidRPr="00AF20CF" w:rsidRDefault="00B17123" w:rsidP="00F92373">
            <w:pPr>
              <w:ind w:right="32"/>
              <w:jc w:val="center"/>
              <w:rPr>
                <w:sz w:val="26"/>
                <w:szCs w:val="26"/>
              </w:rPr>
            </w:pPr>
            <w:r w:rsidRPr="00AF20CF">
              <w:rPr>
                <w:sz w:val="26"/>
                <w:szCs w:val="26"/>
              </w:rPr>
              <w:t>Pirmās</w:t>
            </w:r>
            <w:r>
              <w:rPr>
                <w:sz w:val="26"/>
                <w:szCs w:val="26"/>
              </w:rPr>
              <w:t xml:space="preserve"> </w:t>
            </w:r>
            <w:r w:rsidRPr="00AF20CF">
              <w:rPr>
                <w:sz w:val="26"/>
                <w:szCs w:val="26"/>
              </w:rPr>
              <w:t>izsoles sākumcena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0761" w14:textId="77777777" w:rsidR="00B17123" w:rsidRPr="00DE1425" w:rsidRDefault="00B17123" w:rsidP="00F92373">
            <w:pPr>
              <w:ind w:right="32"/>
              <w:jc w:val="center"/>
              <w:rPr>
                <w:kern w:val="28"/>
                <w:sz w:val="26"/>
                <w:szCs w:val="26"/>
              </w:rPr>
            </w:pPr>
            <w:r w:rsidRPr="00AF20CF">
              <w:rPr>
                <w:kern w:val="28"/>
                <w:sz w:val="26"/>
                <w:szCs w:val="26"/>
              </w:rPr>
              <w:t>Piedāvātā</w:t>
            </w:r>
            <w:r>
              <w:rPr>
                <w:kern w:val="28"/>
                <w:sz w:val="26"/>
                <w:szCs w:val="26"/>
              </w:rPr>
              <w:t xml:space="preserve"> </w:t>
            </w:r>
            <w:r w:rsidRPr="00AF20CF">
              <w:rPr>
                <w:kern w:val="28"/>
                <w:sz w:val="26"/>
                <w:szCs w:val="26"/>
              </w:rPr>
              <w:t>otrās</w:t>
            </w:r>
            <w:r>
              <w:rPr>
                <w:kern w:val="28"/>
                <w:sz w:val="26"/>
                <w:szCs w:val="26"/>
              </w:rPr>
              <w:t xml:space="preserve"> </w:t>
            </w:r>
            <w:r w:rsidRPr="00AF20CF">
              <w:rPr>
                <w:kern w:val="28"/>
                <w:sz w:val="26"/>
                <w:szCs w:val="26"/>
              </w:rPr>
              <w:t>izsoles</w:t>
            </w:r>
            <w:r>
              <w:rPr>
                <w:kern w:val="28"/>
                <w:sz w:val="26"/>
                <w:szCs w:val="26"/>
              </w:rPr>
              <w:t xml:space="preserve"> </w:t>
            </w:r>
            <w:r w:rsidRPr="00AF20CF">
              <w:rPr>
                <w:kern w:val="28"/>
                <w:sz w:val="26"/>
                <w:szCs w:val="26"/>
              </w:rPr>
              <w:t>sākumcena</w:t>
            </w:r>
            <w:r>
              <w:rPr>
                <w:kern w:val="28"/>
                <w:sz w:val="26"/>
                <w:szCs w:val="26"/>
              </w:rPr>
              <w:t xml:space="preserve"> </w:t>
            </w:r>
            <w:r w:rsidRPr="00AF20CF">
              <w:rPr>
                <w:kern w:val="28"/>
                <w:sz w:val="26"/>
                <w:szCs w:val="26"/>
              </w:rPr>
              <w:t>(samazinājums 20</w:t>
            </w:r>
            <w:r>
              <w:rPr>
                <w:kern w:val="28"/>
                <w:sz w:val="26"/>
                <w:szCs w:val="26"/>
              </w:rPr>
              <w:t> </w:t>
            </w:r>
            <w:r w:rsidRPr="00AF20CF">
              <w:rPr>
                <w:kern w:val="28"/>
                <w:sz w:val="26"/>
                <w:szCs w:val="26"/>
              </w:rPr>
              <w:t>% apmērā)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FA85" w14:textId="49B44758" w:rsidR="00B17123" w:rsidRPr="00AF20CF" w:rsidRDefault="00B17123" w:rsidP="00EC37C6">
            <w:pPr>
              <w:ind w:right="32"/>
              <w:jc w:val="center"/>
              <w:rPr>
                <w:sz w:val="26"/>
                <w:szCs w:val="26"/>
              </w:rPr>
            </w:pPr>
            <w:r w:rsidRPr="00AF20CF">
              <w:rPr>
                <w:sz w:val="26"/>
                <w:szCs w:val="26"/>
              </w:rPr>
              <w:t>VZD</w:t>
            </w:r>
            <w:r>
              <w:rPr>
                <w:sz w:val="26"/>
                <w:szCs w:val="26"/>
              </w:rPr>
              <w:t xml:space="preserve"> </w:t>
            </w:r>
            <w:r w:rsidRPr="00AF20CF">
              <w:rPr>
                <w:sz w:val="26"/>
                <w:szCs w:val="26"/>
              </w:rPr>
              <w:t>kadastrālā vērtība</w:t>
            </w:r>
            <w:r>
              <w:rPr>
                <w:sz w:val="26"/>
                <w:szCs w:val="26"/>
              </w:rPr>
              <w:t xml:space="preserve"> 2022</w:t>
            </w:r>
            <w:r w:rsidRPr="00AF20C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 </w:t>
            </w:r>
            <w:r w:rsidRPr="00AF20CF">
              <w:rPr>
                <w:sz w:val="26"/>
                <w:szCs w:val="26"/>
              </w:rPr>
              <w:t>gada</w:t>
            </w:r>
            <w:r>
              <w:rPr>
                <w:sz w:val="26"/>
                <w:szCs w:val="26"/>
              </w:rPr>
              <w:t xml:space="preserve"> 26. o</w:t>
            </w:r>
            <w:r w:rsidR="00EC37C6">
              <w:rPr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tobrī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47178" w14:textId="1954155E" w:rsidR="00B17123" w:rsidRPr="00AF20CF" w:rsidRDefault="00B17123" w:rsidP="00B17123">
            <w:pPr>
              <w:ind w:right="32"/>
              <w:jc w:val="center"/>
              <w:rPr>
                <w:sz w:val="26"/>
                <w:szCs w:val="26"/>
              </w:rPr>
            </w:pPr>
            <w:r w:rsidRPr="00AF20CF">
              <w:rPr>
                <w:sz w:val="26"/>
                <w:szCs w:val="26"/>
              </w:rPr>
              <w:t>Atlikusī bilances</w:t>
            </w:r>
            <w:r>
              <w:rPr>
                <w:sz w:val="26"/>
                <w:szCs w:val="26"/>
              </w:rPr>
              <w:t xml:space="preserve"> v</w:t>
            </w:r>
            <w:r w:rsidRPr="00AF20CF">
              <w:rPr>
                <w:sz w:val="26"/>
                <w:szCs w:val="26"/>
              </w:rPr>
              <w:t>ērtība</w:t>
            </w:r>
            <w:r>
              <w:rPr>
                <w:sz w:val="26"/>
                <w:szCs w:val="26"/>
              </w:rPr>
              <w:t xml:space="preserve"> (Jūrmalas valstspilsētas administrācijas Centralizētās </w:t>
            </w:r>
            <w:r w:rsidRPr="00AF20CF">
              <w:rPr>
                <w:sz w:val="26"/>
                <w:szCs w:val="26"/>
              </w:rPr>
              <w:t>grāmatvedības dati)</w:t>
            </w:r>
            <w:r>
              <w:rPr>
                <w:sz w:val="26"/>
                <w:szCs w:val="26"/>
              </w:rPr>
              <w:t xml:space="preserve"> 2022</w:t>
            </w:r>
            <w:r w:rsidRPr="00AF20C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 </w:t>
            </w:r>
            <w:r w:rsidRPr="00AF20CF">
              <w:rPr>
                <w:sz w:val="26"/>
                <w:szCs w:val="26"/>
              </w:rPr>
              <w:t>gada</w:t>
            </w:r>
            <w:r>
              <w:rPr>
                <w:sz w:val="26"/>
                <w:szCs w:val="26"/>
              </w:rPr>
              <w:t xml:space="preserve"> 1</w:t>
            </w:r>
            <w:r w:rsidRPr="00AF20C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 novembrī</w:t>
            </w:r>
          </w:p>
        </w:tc>
      </w:tr>
      <w:tr w:rsidR="00B17123" w:rsidRPr="00281BC1" w14:paraId="34936171" w14:textId="77777777" w:rsidTr="00F92373">
        <w:trPr>
          <w:trHeight w:val="416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83A6" w14:textId="45AEB300" w:rsidR="00B17123" w:rsidRPr="007231E7" w:rsidRDefault="00B17123" w:rsidP="00F92373">
            <w:pPr>
              <w:ind w:right="3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76 300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6048" w14:textId="5D6C6D65" w:rsidR="00B17123" w:rsidRPr="007231E7" w:rsidRDefault="00B17123" w:rsidP="00F92373">
            <w:pPr>
              <w:ind w:right="3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76 300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6FFE" w14:textId="7A462D7F" w:rsidR="00B17123" w:rsidRPr="007231E7" w:rsidRDefault="00245E80" w:rsidP="00F92373">
            <w:pPr>
              <w:ind w:right="3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61 04</w:t>
            </w:r>
            <w:r w:rsidR="00B17123">
              <w:rPr>
                <w:sz w:val="26"/>
                <w:szCs w:val="26"/>
              </w:rPr>
              <w:t>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21D7" w14:textId="4A64A8DC" w:rsidR="00B17123" w:rsidRPr="007231E7" w:rsidRDefault="00B17123" w:rsidP="00F92373">
            <w:pPr>
              <w:ind w:right="3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32 493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0248" w14:textId="0B1D79BB" w:rsidR="00B17123" w:rsidRPr="007231E7" w:rsidRDefault="00B17123" w:rsidP="00F92373">
            <w:pPr>
              <w:ind w:right="3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29 637,01</w:t>
            </w:r>
          </w:p>
        </w:tc>
      </w:tr>
    </w:tbl>
    <w:p w14:paraId="150E0B5D" w14:textId="0BDD5F67" w:rsidR="00B17123" w:rsidRPr="00FB5A70" w:rsidRDefault="00B17123" w:rsidP="00B17123">
      <w:pPr>
        <w:ind w:firstLine="709"/>
        <w:jc w:val="both"/>
        <w:rPr>
          <w:sz w:val="26"/>
          <w:szCs w:val="26"/>
        </w:rPr>
      </w:pPr>
      <w:r w:rsidRPr="00FB5A70">
        <w:rPr>
          <w:sz w:val="26"/>
          <w:szCs w:val="26"/>
        </w:rPr>
        <w:t xml:space="preserve">Jūrmalas </w:t>
      </w:r>
      <w:r w:rsidRPr="00FB5A70">
        <w:rPr>
          <w:spacing w:val="2"/>
          <w:sz w:val="26"/>
          <w:szCs w:val="26"/>
        </w:rPr>
        <w:t>Mantas novērtēšanas</w:t>
      </w:r>
      <w:r>
        <w:rPr>
          <w:spacing w:val="2"/>
          <w:sz w:val="26"/>
          <w:szCs w:val="26"/>
        </w:rPr>
        <w:t xml:space="preserve"> un izsoļu komisija 2023. gada </w:t>
      </w:r>
      <w:r w:rsidR="0058448D">
        <w:rPr>
          <w:spacing w:val="2"/>
          <w:sz w:val="26"/>
          <w:szCs w:val="26"/>
        </w:rPr>
        <w:t>27</w:t>
      </w:r>
      <w:r>
        <w:rPr>
          <w:spacing w:val="2"/>
          <w:sz w:val="26"/>
          <w:szCs w:val="26"/>
        </w:rPr>
        <w:t>. janvāra sēdē (protokola Nr. 8.2-7/2</w:t>
      </w:r>
      <w:r w:rsidRPr="00FB5A70">
        <w:rPr>
          <w:spacing w:val="2"/>
          <w:sz w:val="26"/>
          <w:szCs w:val="26"/>
        </w:rPr>
        <w:t>) izskatīja jautājumu par</w:t>
      </w:r>
      <w:r>
        <w:rPr>
          <w:spacing w:val="2"/>
          <w:sz w:val="26"/>
          <w:szCs w:val="26"/>
        </w:rPr>
        <w:t xml:space="preserve"> dzīvokļa īpašuma Nr. 77 </w:t>
      </w:r>
      <w:r w:rsidRPr="00FB5A70">
        <w:rPr>
          <w:spacing w:val="2"/>
          <w:sz w:val="26"/>
          <w:szCs w:val="26"/>
        </w:rPr>
        <w:t>otrās izsoles organizēšanu un</w:t>
      </w:r>
      <w:r>
        <w:rPr>
          <w:spacing w:val="2"/>
          <w:sz w:val="26"/>
          <w:szCs w:val="26"/>
        </w:rPr>
        <w:t xml:space="preserve"> </w:t>
      </w:r>
      <w:r w:rsidRPr="00F9423A">
        <w:rPr>
          <w:spacing w:val="2"/>
          <w:sz w:val="26"/>
          <w:szCs w:val="26"/>
        </w:rPr>
        <w:t xml:space="preserve">nolēma pārdot to otrā rakstiskā izsolē ar augšupejošu soli, </w:t>
      </w:r>
      <w:r>
        <w:rPr>
          <w:sz w:val="26"/>
          <w:szCs w:val="26"/>
        </w:rPr>
        <w:t xml:space="preserve">nosakot otrās </w:t>
      </w:r>
      <w:r w:rsidR="00A0101C">
        <w:rPr>
          <w:sz w:val="26"/>
          <w:szCs w:val="26"/>
        </w:rPr>
        <w:lastRenderedPageBreak/>
        <w:t>izsoles sākumcenu 61</w:t>
      </w:r>
      <w:r w:rsidR="000C20AF">
        <w:rPr>
          <w:sz w:val="26"/>
          <w:szCs w:val="26"/>
        </w:rPr>
        <w:t> </w:t>
      </w:r>
      <w:r w:rsidR="00A0101C">
        <w:rPr>
          <w:sz w:val="26"/>
          <w:szCs w:val="26"/>
        </w:rPr>
        <w:t>04</w:t>
      </w:r>
      <w:r>
        <w:rPr>
          <w:sz w:val="26"/>
          <w:szCs w:val="26"/>
        </w:rPr>
        <w:t>0</w:t>
      </w:r>
      <w:r w:rsidR="000C20AF">
        <w:rPr>
          <w:sz w:val="26"/>
          <w:szCs w:val="26"/>
        </w:rPr>
        <w:t> </w:t>
      </w:r>
      <w:r w:rsidRPr="00A34005">
        <w:rPr>
          <w:i/>
          <w:sz w:val="26"/>
          <w:szCs w:val="26"/>
        </w:rPr>
        <w:t>euro</w:t>
      </w:r>
      <w:r w:rsidRPr="00F9423A">
        <w:rPr>
          <w:sz w:val="26"/>
          <w:szCs w:val="26"/>
        </w:rPr>
        <w:t xml:space="preserve"> (cenas samazinājums 20</w:t>
      </w:r>
      <w:r>
        <w:rPr>
          <w:sz w:val="26"/>
          <w:szCs w:val="26"/>
        </w:rPr>
        <w:t> </w:t>
      </w:r>
      <w:r w:rsidRPr="00F9423A">
        <w:rPr>
          <w:sz w:val="26"/>
          <w:szCs w:val="26"/>
        </w:rPr>
        <w:t>% apm</w:t>
      </w:r>
      <w:r>
        <w:rPr>
          <w:sz w:val="26"/>
          <w:szCs w:val="26"/>
        </w:rPr>
        <w:t>ērā), izsoles soli (7 % no nosacītās cenas) – 4</w:t>
      </w:r>
      <w:r w:rsidR="000C20AF">
        <w:rPr>
          <w:sz w:val="26"/>
          <w:szCs w:val="26"/>
        </w:rPr>
        <w:t> </w:t>
      </w:r>
      <w:r>
        <w:rPr>
          <w:sz w:val="26"/>
          <w:szCs w:val="26"/>
        </w:rPr>
        <w:t>273</w:t>
      </w:r>
      <w:r w:rsidR="000C20AF">
        <w:rPr>
          <w:sz w:val="26"/>
          <w:szCs w:val="26"/>
        </w:rPr>
        <w:t> </w:t>
      </w:r>
      <w:r w:rsidRPr="00A34005">
        <w:rPr>
          <w:i/>
          <w:sz w:val="26"/>
          <w:szCs w:val="26"/>
        </w:rPr>
        <w:t>eur</w:t>
      </w:r>
      <w:r>
        <w:rPr>
          <w:i/>
          <w:sz w:val="26"/>
          <w:szCs w:val="26"/>
        </w:rPr>
        <w:t xml:space="preserve">o, </w:t>
      </w:r>
      <w:r w:rsidRPr="00B17123">
        <w:rPr>
          <w:sz w:val="26"/>
          <w:szCs w:val="26"/>
        </w:rPr>
        <w:t>noapaļojot līdz veselam</w:t>
      </w:r>
      <w:r>
        <w:rPr>
          <w:i/>
          <w:sz w:val="26"/>
          <w:szCs w:val="26"/>
        </w:rPr>
        <w:t xml:space="preserve"> euro</w:t>
      </w:r>
      <w:r>
        <w:rPr>
          <w:sz w:val="26"/>
          <w:szCs w:val="26"/>
        </w:rPr>
        <w:t xml:space="preserve"> un </w:t>
      </w:r>
      <w:r w:rsidRPr="00F9423A">
        <w:rPr>
          <w:sz w:val="26"/>
          <w:szCs w:val="26"/>
        </w:rPr>
        <w:t>i</w:t>
      </w:r>
      <w:r>
        <w:rPr>
          <w:sz w:val="26"/>
          <w:szCs w:val="26"/>
        </w:rPr>
        <w:t>zsoles reģistrācijas maksu – 140 </w:t>
      </w:r>
      <w:r w:rsidRPr="00A34005">
        <w:rPr>
          <w:i/>
          <w:sz w:val="26"/>
          <w:szCs w:val="26"/>
        </w:rPr>
        <w:t>euro</w:t>
      </w:r>
      <w:r>
        <w:rPr>
          <w:i/>
          <w:sz w:val="26"/>
          <w:szCs w:val="26"/>
        </w:rPr>
        <w:t xml:space="preserve">, </w:t>
      </w:r>
      <w:r w:rsidRPr="00845843">
        <w:rPr>
          <w:sz w:val="26"/>
          <w:szCs w:val="26"/>
        </w:rPr>
        <w:t>nosakot, ka</w:t>
      </w:r>
      <w:r>
        <w:rPr>
          <w:sz w:val="26"/>
          <w:szCs w:val="26"/>
        </w:rPr>
        <w:t xml:space="preserve"> dzīvokļa īpašumu Nr. 77 </w:t>
      </w:r>
      <w:r w:rsidRPr="00845843">
        <w:rPr>
          <w:sz w:val="26"/>
          <w:szCs w:val="26"/>
        </w:rPr>
        <w:t>pircējs var pirkt ar tūlītēju samaksu (samaksu veicot mēneša laikā pēc izsoles).</w:t>
      </w:r>
      <w:r>
        <w:rPr>
          <w:sz w:val="26"/>
          <w:szCs w:val="26"/>
        </w:rPr>
        <w:t xml:space="preserve"> </w:t>
      </w:r>
    </w:p>
    <w:p w14:paraId="56D6A40F" w14:textId="2CB90BB2" w:rsidR="00B17123" w:rsidRDefault="00B17123" w:rsidP="00B17123">
      <w:pPr>
        <w:ind w:firstLine="709"/>
        <w:jc w:val="both"/>
        <w:rPr>
          <w:sz w:val="26"/>
          <w:szCs w:val="26"/>
        </w:rPr>
      </w:pPr>
      <w:r w:rsidRPr="00FB5A70">
        <w:rPr>
          <w:spacing w:val="2"/>
          <w:sz w:val="26"/>
          <w:szCs w:val="26"/>
        </w:rPr>
        <w:t xml:space="preserve">Pamatojoties uz Publiskas personas mantas atsavināšanas likuma </w:t>
      </w:r>
      <w:r w:rsidRPr="00FB5A70">
        <w:rPr>
          <w:sz w:val="26"/>
          <w:szCs w:val="26"/>
        </w:rPr>
        <w:t>10.</w:t>
      </w:r>
      <w:r>
        <w:rPr>
          <w:sz w:val="26"/>
          <w:szCs w:val="26"/>
        </w:rPr>
        <w:t> </w:t>
      </w:r>
      <w:r w:rsidRPr="00FB5A70">
        <w:rPr>
          <w:sz w:val="26"/>
          <w:szCs w:val="26"/>
        </w:rPr>
        <w:t xml:space="preserve">panta otro daļu, </w:t>
      </w:r>
      <w:r w:rsidRPr="00FB5A70">
        <w:rPr>
          <w:spacing w:val="2"/>
          <w:sz w:val="26"/>
          <w:szCs w:val="26"/>
        </w:rPr>
        <w:t>11.</w:t>
      </w:r>
      <w:r>
        <w:rPr>
          <w:spacing w:val="2"/>
          <w:sz w:val="26"/>
          <w:szCs w:val="26"/>
        </w:rPr>
        <w:t> </w:t>
      </w:r>
      <w:r w:rsidRPr="00FB5A70">
        <w:rPr>
          <w:spacing w:val="2"/>
          <w:sz w:val="26"/>
          <w:szCs w:val="26"/>
        </w:rPr>
        <w:t xml:space="preserve">panta pirmo daļu, </w:t>
      </w:r>
      <w:r w:rsidRPr="00FB5A70">
        <w:rPr>
          <w:sz w:val="26"/>
          <w:szCs w:val="26"/>
        </w:rPr>
        <w:t>32.</w:t>
      </w:r>
      <w:r>
        <w:rPr>
          <w:sz w:val="26"/>
          <w:szCs w:val="26"/>
        </w:rPr>
        <w:t> </w:t>
      </w:r>
      <w:r w:rsidRPr="00FB5A70">
        <w:rPr>
          <w:sz w:val="26"/>
          <w:szCs w:val="26"/>
        </w:rPr>
        <w:t>panta pirmās daļas 1.</w:t>
      </w:r>
      <w:r>
        <w:rPr>
          <w:sz w:val="26"/>
          <w:szCs w:val="26"/>
        </w:rPr>
        <w:t> </w:t>
      </w:r>
      <w:r w:rsidRPr="00FB5A70">
        <w:rPr>
          <w:sz w:val="26"/>
          <w:szCs w:val="26"/>
        </w:rPr>
        <w:t>punktu, kā arī, ievērojot izsoles noteikumu, kas apstiprināti ar Jūrmalas</w:t>
      </w:r>
      <w:r>
        <w:rPr>
          <w:sz w:val="26"/>
          <w:szCs w:val="26"/>
        </w:rPr>
        <w:t xml:space="preserve"> </w:t>
      </w:r>
      <w:r w:rsidRPr="00FB5A70">
        <w:rPr>
          <w:sz w:val="26"/>
          <w:szCs w:val="26"/>
        </w:rPr>
        <w:t xml:space="preserve">domes </w:t>
      </w:r>
      <w:r>
        <w:rPr>
          <w:sz w:val="26"/>
          <w:szCs w:val="26"/>
          <w:lang w:eastAsia="ar-SA"/>
        </w:rPr>
        <w:t>2022. gada 2</w:t>
      </w:r>
      <w:r w:rsidR="003B721F">
        <w:rPr>
          <w:sz w:val="26"/>
          <w:szCs w:val="26"/>
          <w:lang w:eastAsia="ar-SA"/>
        </w:rPr>
        <w:t>4</w:t>
      </w:r>
      <w:r>
        <w:rPr>
          <w:sz w:val="26"/>
          <w:szCs w:val="26"/>
          <w:lang w:eastAsia="ar-SA"/>
        </w:rPr>
        <w:t>. </w:t>
      </w:r>
      <w:r w:rsidR="003B721F">
        <w:rPr>
          <w:sz w:val="26"/>
          <w:szCs w:val="26"/>
          <w:lang w:eastAsia="ar-SA"/>
        </w:rPr>
        <w:t>novembra</w:t>
      </w:r>
      <w:r w:rsidRPr="00FB5A70">
        <w:rPr>
          <w:sz w:val="26"/>
          <w:szCs w:val="26"/>
          <w:lang w:eastAsia="ar-SA"/>
        </w:rPr>
        <w:t xml:space="preserve"> lēmumu</w:t>
      </w:r>
      <w:r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</w:rPr>
        <w:t>Nr. 5</w:t>
      </w:r>
      <w:r w:rsidR="003B721F">
        <w:rPr>
          <w:sz w:val="26"/>
          <w:szCs w:val="26"/>
        </w:rPr>
        <w:t>56</w:t>
      </w:r>
      <w:r>
        <w:rPr>
          <w:sz w:val="26"/>
          <w:szCs w:val="26"/>
        </w:rPr>
        <w:t xml:space="preserve"> </w:t>
      </w:r>
      <w:r w:rsidRPr="00FB5A70">
        <w:rPr>
          <w:sz w:val="26"/>
          <w:szCs w:val="26"/>
        </w:rPr>
        <w:t>“Par</w:t>
      </w:r>
      <w:r>
        <w:rPr>
          <w:sz w:val="26"/>
          <w:szCs w:val="26"/>
        </w:rPr>
        <w:t xml:space="preserve"> dzīvokļa īpašuma Nr. </w:t>
      </w:r>
      <w:r w:rsidR="003B721F">
        <w:rPr>
          <w:sz w:val="26"/>
          <w:szCs w:val="26"/>
        </w:rPr>
        <w:t>77</w:t>
      </w:r>
      <w:r>
        <w:rPr>
          <w:sz w:val="26"/>
          <w:szCs w:val="26"/>
        </w:rPr>
        <w:t xml:space="preserve"> T</w:t>
      </w:r>
      <w:r w:rsidR="003B721F">
        <w:rPr>
          <w:sz w:val="26"/>
          <w:szCs w:val="26"/>
        </w:rPr>
        <w:t>ērbatas</w:t>
      </w:r>
      <w:r>
        <w:rPr>
          <w:sz w:val="26"/>
          <w:szCs w:val="26"/>
        </w:rPr>
        <w:t xml:space="preserve"> ielā </w:t>
      </w:r>
      <w:r w:rsidR="003B721F">
        <w:rPr>
          <w:sz w:val="26"/>
          <w:szCs w:val="26"/>
        </w:rPr>
        <w:t>43</w:t>
      </w:r>
      <w:r>
        <w:rPr>
          <w:sz w:val="26"/>
          <w:szCs w:val="26"/>
        </w:rPr>
        <w:t xml:space="preserve">, Jūrmalā, </w:t>
      </w:r>
      <w:r w:rsidRPr="00FB5A70">
        <w:rPr>
          <w:sz w:val="26"/>
          <w:szCs w:val="26"/>
        </w:rPr>
        <w:t>pirmās izsoles organizēšanu”</w:t>
      </w:r>
      <w:r>
        <w:rPr>
          <w:sz w:val="26"/>
          <w:szCs w:val="26"/>
        </w:rPr>
        <w:t xml:space="preserve"> 8</w:t>
      </w:r>
      <w:r w:rsidRPr="00FB5A70">
        <w:rPr>
          <w:sz w:val="26"/>
          <w:szCs w:val="26"/>
        </w:rPr>
        <w:t>.1.2.</w:t>
      </w:r>
      <w:r>
        <w:rPr>
          <w:sz w:val="26"/>
          <w:szCs w:val="26"/>
        </w:rPr>
        <w:t> </w:t>
      </w:r>
      <w:r w:rsidRPr="00FB5A70">
        <w:rPr>
          <w:sz w:val="26"/>
          <w:szCs w:val="26"/>
        </w:rPr>
        <w:t>punktu,</w:t>
      </w:r>
      <w:r>
        <w:rPr>
          <w:sz w:val="26"/>
          <w:szCs w:val="26"/>
        </w:rPr>
        <w:t xml:space="preserve"> Jūrmalas Mantas </w:t>
      </w:r>
      <w:r w:rsidRPr="00FB5A70">
        <w:rPr>
          <w:spacing w:val="2"/>
          <w:sz w:val="26"/>
          <w:szCs w:val="26"/>
        </w:rPr>
        <w:t xml:space="preserve">novērtēšanas </w:t>
      </w:r>
      <w:r>
        <w:rPr>
          <w:spacing w:val="2"/>
          <w:sz w:val="26"/>
          <w:szCs w:val="26"/>
        </w:rPr>
        <w:t>un izsoļu komisijas 202</w:t>
      </w:r>
      <w:r w:rsidR="003B721F">
        <w:rPr>
          <w:spacing w:val="2"/>
          <w:sz w:val="26"/>
          <w:szCs w:val="26"/>
        </w:rPr>
        <w:t>3</w:t>
      </w:r>
      <w:r>
        <w:rPr>
          <w:spacing w:val="2"/>
          <w:sz w:val="26"/>
          <w:szCs w:val="26"/>
        </w:rPr>
        <w:t xml:space="preserve">. gada </w:t>
      </w:r>
      <w:r w:rsidR="008D4720">
        <w:rPr>
          <w:spacing w:val="2"/>
          <w:sz w:val="26"/>
          <w:szCs w:val="26"/>
        </w:rPr>
        <w:t>27</w:t>
      </w:r>
      <w:r>
        <w:rPr>
          <w:spacing w:val="2"/>
          <w:sz w:val="26"/>
          <w:szCs w:val="26"/>
        </w:rPr>
        <w:t>. </w:t>
      </w:r>
      <w:r w:rsidR="003B721F">
        <w:rPr>
          <w:spacing w:val="2"/>
          <w:sz w:val="26"/>
          <w:szCs w:val="26"/>
        </w:rPr>
        <w:t>janvāra</w:t>
      </w:r>
      <w:r>
        <w:rPr>
          <w:spacing w:val="2"/>
          <w:sz w:val="26"/>
          <w:szCs w:val="26"/>
        </w:rPr>
        <w:t xml:space="preserve"> </w:t>
      </w:r>
      <w:r w:rsidRPr="00FB5A70">
        <w:rPr>
          <w:spacing w:val="2"/>
          <w:sz w:val="26"/>
          <w:szCs w:val="26"/>
        </w:rPr>
        <w:t>sē</w:t>
      </w:r>
      <w:r>
        <w:rPr>
          <w:spacing w:val="2"/>
          <w:sz w:val="26"/>
          <w:szCs w:val="26"/>
        </w:rPr>
        <w:t>des lēmumu (protokola Nr. 8.2-7/</w:t>
      </w:r>
      <w:r w:rsidR="003B721F">
        <w:rPr>
          <w:spacing w:val="2"/>
          <w:sz w:val="26"/>
          <w:szCs w:val="26"/>
        </w:rPr>
        <w:t>2</w:t>
      </w:r>
      <w:r w:rsidRPr="00FB5A70">
        <w:rPr>
          <w:spacing w:val="2"/>
          <w:sz w:val="26"/>
          <w:szCs w:val="26"/>
        </w:rPr>
        <w:t xml:space="preserve">) </w:t>
      </w:r>
      <w:r>
        <w:rPr>
          <w:sz w:val="26"/>
          <w:szCs w:val="26"/>
        </w:rPr>
        <w:t>un, ņemot vērā Jūrmalas</w:t>
      </w:r>
      <w:r w:rsidRPr="00FB5A70">
        <w:rPr>
          <w:sz w:val="26"/>
          <w:szCs w:val="26"/>
        </w:rPr>
        <w:t xml:space="preserve"> domes </w:t>
      </w:r>
      <w:r w:rsidRPr="004E2CC5">
        <w:rPr>
          <w:sz w:val="26"/>
          <w:szCs w:val="26"/>
        </w:rPr>
        <w:t>Pilsētsaimniecības</w:t>
      </w:r>
      <w:r w:rsidRPr="009740FB">
        <w:rPr>
          <w:sz w:val="26"/>
          <w:szCs w:val="26"/>
        </w:rPr>
        <w:t xml:space="preserve"> jautājumu</w:t>
      </w:r>
      <w:r>
        <w:rPr>
          <w:sz w:val="26"/>
          <w:szCs w:val="26"/>
        </w:rPr>
        <w:t xml:space="preserve"> komitejas 202</w:t>
      </w:r>
      <w:r w:rsidR="003B721F">
        <w:rPr>
          <w:sz w:val="26"/>
          <w:szCs w:val="26"/>
        </w:rPr>
        <w:t>3</w:t>
      </w:r>
      <w:r w:rsidRPr="00C625E5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4E2CC5">
        <w:rPr>
          <w:sz w:val="26"/>
          <w:szCs w:val="26"/>
        </w:rPr>
        <w:t xml:space="preserve">gada </w:t>
      </w:r>
      <w:r w:rsidR="004E2CC5" w:rsidRPr="004E2CC5">
        <w:rPr>
          <w:sz w:val="26"/>
          <w:szCs w:val="26"/>
        </w:rPr>
        <w:t>7</w:t>
      </w:r>
      <w:r w:rsidRPr="004E2CC5">
        <w:rPr>
          <w:sz w:val="26"/>
          <w:szCs w:val="26"/>
        </w:rPr>
        <w:t>. </w:t>
      </w:r>
      <w:r w:rsidR="003B721F" w:rsidRPr="004E2CC5">
        <w:rPr>
          <w:sz w:val="26"/>
          <w:szCs w:val="26"/>
        </w:rPr>
        <w:t>februāra</w:t>
      </w:r>
      <w:r>
        <w:rPr>
          <w:sz w:val="26"/>
          <w:szCs w:val="26"/>
        </w:rPr>
        <w:t xml:space="preserve"> atzinumu (protokols Nr. </w:t>
      </w:r>
      <w:r w:rsidRPr="00FB5A70">
        <w:rPr>
          <w:sz w:val="26"/>
          <w:szCs w:val="26"/>
        </w:rPr>
        <w:t xml:space="preserve">), Jūrmalas dome </w:t>
      </w:r>
      <w:r w:rsidRPr="00FB5A70">
        <w:rPr>
          <w:b/>
          <w:bCs/>
          <w:sz w:val="26"/>
          <w:szCs w:val="26"/>
        </w:rPr>
        <w:t>nolemj</w:t>
      </w:r>
      <w:r w:rsidRPr="00FB5A70">
        <w:rPr>
          <w:sz w:val="26"/>
          <w:szCs w:val="26"/>
        </w:rPr>
        <w:t>:</w:t>
      </w:r>
    </w:p>
    <w:p w14:paraId="0360B2E9" w14:textId="77777777" w:rsidR="00B17123" w:rsidRPr="00FB5A70" w:rsidRDefault="00B17123" w:rsidP="00B17123">
      <w:pPr>
        <w:ind w:right="-1" w:firstLine="720"/>
        <w:jc w:val="both"/>
        <w:rPr>
          <w:sz w:val="26"/>
          <w:szCs w:val="26"/>
        </w:rPr>
      </w:pPr>
    </w:p>
    <w:p w14:paraId="2FBC57DB" w14:textId="2570BBE8" w:rsidR="00B17123" w:rsidRPr="00FB5A70" w:rsidRDefault="00B17123" w:rsidP="00B17123">
      <w:pPr>
        <w:numPr>
          <w:ilvl w:val="0"/>
          <w:numId w:val="26"/>
        </w:numPr>
        <w:ind w:left="425" w:hanging="425"/>
        <w:jc w:val="both"/>
        <w:rPr>
          <w:sz w:val="26"/>
          <w:szCs w:val="26"/>
        </w:rPr>
      </w:pPr>
      <w:r w:rsidRPr="00FB5A70">
        <w:rPr>
          <w:sz w:val="26"/>
          <w:szCs w:val="26"/>
        </w:rPr>
        <w:t xml:space="preserve">Atzīt par nenotikušu Jūrmalas </w:t>
      </w:r>
      <w:r>
        <w:rPr>
          <w:sz w:val="26"/>
          <w:szCs w:val="26"/>
        </w:rPr>
        <w:t>valsts</w:t>
      </w:r>
      <w:r w:rsidRPr="00FB5A70">
        <w:rPr>
          <w:sz w:val="26"/>
          <w:szCs w:val="26"/>
        </w:rPr>
        <w:t>pilsētas pašvaldībai piederoš</w:t>
      </w:r>
      <w:r>
        <w:rPr>
          <w:sz w:val="26"/>
          <w:szCs w:val="26"/>
        </w:rPr>
        <w:t>ā dzīvokļa īpašum</w:t>
      </w:r>
      <w:r w:rsidR="00993CD4">
        <w:rPr>
          <w:sz w:val="26"/>
          <w:szCs w:val="26"/>
        </w:rPr>
        <w:t>a</w:t>
      </w:r>
      <w:r>
        <w:rPr>
          <w:sz w:val="26"/>
          <w:szCs w:val="26"/>
        </w:rPr>
        <w:t xml:space="preserve"> Nr. </w:t>
      </w:r>
      <w:r w:rsidR="00594714">
        <w:rPr>
          <w:sz w:val="26"/>
          <w:szCs w:val="26"/>
        </w:rPr>
        <w:t>77</w:t>
      </w:r>
      <w:r>
        <w:rPr>
          <w:sz w:val="26"/>
          <w:szCs w:val="26"/>
        </w:rPr>
        <w:t xml:space="preserve"> </w:t>
      </w:r>
      <w:r w:rsidRPr="00FB5A70">
        <w:rPr>
          <w:sz w:val="26"/>
          <w:szCs w:val="26"/>
        </w:rPr>
        <w:t>pirmo izsoli.</w:t>
      </w:r>
    </w:p>
    <w:p w14:paraId="678343C6" w14:textId="3E06F326" w:rsidR="00B17123" w:rsidRPr="00FB5A70" w:rsidRDefault="00B17123" w:rsidP="00B17123">
      <w:pPr>
        <w:numPr>
          <w:ilvl w:val="0"/>
          <w:numId w:val="26"/>
        </w:numPr>
        <w:ind w:left="425" w:hanging="425"/>
        <w:jc w:val="both"/>
        <w:rPr>
          <w:sz w:val="26"/>
          <w:szCs w:val="26"/>
        </w:rPr>
      </w:pPr>
      <w:r w:rsidRPr="00FB5A70">
        <w:rPr>
          <w:sz w:val="26"/>
          <w:szCs w:val="26"/>
        </w:rPr>
        <w:t xml:space="preserve">Atsavināt, pārdodot otrā </w:t>
      </w:r>
      <w:r w:rsidRPr="00DE2FA1">
        <w:rPr>
          <w:sz w:val="26"/>
          <w:szCs w:val="26"/>
        </w:rPr>
        <w:t>rakstiskā</w:t>
      </w:r>
      <w:r w:rsidRPr="00FB5A70">
        <w:rPr>
          <w:sz w:val="26"/>
          <w:szCs w:val="26"/>
        </w:rPr>
        <w:t xml:space="preserve"> izsolē ar augšupejošu soli,</w:t>
      </w:r>
      <w:r>
        <w:rPr>
          <w:sz w:val="26"/>
          <w:szCs w:val="26"/>
        </w:rPr>
        <w:t xml:space="preserve"> dzīvokļa īpašumu Nr. </w:t>
      </w:r>
      <w:r w:rsidR="00594714">
        <w:rPr>
          <w:sz w:val="26"/>
          <w:szCs w:val="26"/>
        </w:rPr>
        <w:t>77</w:t>
      </w:r>
      <w:r>
        <w:rPr>
          <w:sz w:val="26"/>
          <w:szCs w:val="26"/>
        </w:rPr>
        <w:t>, nosakot</w:t>
      </w:r>
      <w:r w:rsidRPr="00FB5A70">
        <w:rPr>
          <w:sz w:val="26"/>
          <w:szCs w:val="26"/>
        </w:rPr>
        <w:t xml:space="preserve">: </w:t>
      </w:r>
    </w:p>
    <w:p w14:paraId="31CBED41" w14:textId="02C576FC" w:rsidR="00B17123" w:rsidRPr="00FB5A70" w:rsidRDefault="00B17123" w:rsidP="00B17123">
      <w:pPr>
        <w:numPr>
          <w:ilvl w:val="1"/>
          <w:numId w:val="26"/>
        </w:numPr>
        <w:ind w:left="992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otrās izsoles sākumcenu </w:t>
      </w:r>
      <w:r w:rsidR="00594714">
        <w:rPr>
          <w:sz w:val="26"/>
          <w:szCs w:val="26"/>
        </w:rPr>
        <w:t>61 040</w:t>
      </w:r>
      <w:r>
        <w:rPr>
          <w:sz w:val="26"/>
          <w:szCs w:val="26"/>
        </w:rPr>
        <w:t> </w:t>
      </w:r>
      <w:r w:rsidRPr="00A34005">
        <w:rPr>
          <w:i/>
          <w:sz w:val="26"/>
          <w:szCs w:val="26"/>
        </w:rPr>
        <w:t>euro</w:t>
      </w:r>
      <w:r>
        <w:rPr>
          <w:sz w:val="26"/>
          <w:szCs w:val="26"/>
        </w:rPr>
        <w:t xml:space="preserve"> (</w:t>
      </w:r>
      <w:r w:rsidR="00594714">
        <w:rPr>
          <w:sz w:val="26"/>
          <w:szCs w:val="26"/>
        </w:rPr>
        <w:t>sešdesmit viens tūkstotis</w:t>
      </w:r>
      <w:r>
        <w:rPr>
          <w:sz w:val="26"/>
          <w:szCs w:val="26"/>
        </w:rPr>
        <w:t xml:space="preserve"> </w:t>
      </w:r>
      <w:r w:rsidR="00594714">
        <w:rPr>
          <w:sz w:val="26"/>
          <w:szCs w:val="26"/>
        </w:rPr>
        <w:t>četrdesmit</w:t>
      </w:r>
      <w:r>
        <w:rPr>
          <w:sz w:val="26"/>
          <w:szCs w:val="26"/>
        </w:rPr>
        <w:t xml:space="preserve"> </w:t>
      </w:r>
      <w:r w:rsidRPr="00A34005">
        <w:rPr>
          <w:i/>
          <w:sz w:val="26"/>
          <w:szCs w:val="26"/>
        </w:rPr>
        <w:t>euro</w:t>
      </w:r>
      <w:r w:rsidRPr="00FB5A70">
        <w:rPr>
          <w:sz w:val="26"/>
          <w:szCs w:val="26"/>
        </w:rPr>
        <w:t>);</w:t>
      </w:r>
    </w:p>
    <w:p w14:paraId="7759A6C9" w14:textId="7AFF5117" w:rsidR="00B17123" w:rsidRPr="00FB5A70" w:rsidRDefault="00B17123" w:rsidP="00B17123">
      <w:pPr>
        <w:numPr>
          <w:ilvl w:val="1"/>
          <w:numId w:val="26"/>
        </w:numPr>
        <w:ind w:left="992" w:hanging="567"/>
        <w:jc w:val="both"/>
        <w:rPr>
          <w:sz w:val="26"/>
          <w:szCs w:val="26"/>
        </w:rPr>
      </w:pPr>
      <w:r w:rsidRPr="00FB5A70">
        <w:rPr>
          <w:sz w:val="26"/>
          <w:szCs w:val="26"/>
        </w:rPr>
        <w:t xml:space="preserve">otrās izsoles soli – </w:t>
      </w:r>
      <w:r w:rsidR="00594714">
        <w:rPr>
          <w:sz w:val="26"/>
          <w:szCs w:val="26"/>
        </w:rPr>
        <w:t>4 273</w:t>
      </w:r>
      <w:r>
        <w:rPr>
          <w:sz w:val="26"/>
          <w:szCs w:val="26"/>
        </w:rPr>
        <w:t> </w:t>
      </w:r>
      <w:r w:rsidRPr="00A34005">
        <w:rPr>
          <w:i/>
          <w:sz w:val="26"/>
          <w:szCs w:val="26"/>
        </w:rPr>
        <w:t>euro</w:t>
      </w:r>
      <w:r w:rsidRPr="00FB5A70">
        <w:rPr>
          <w:sz w:val="26"/>
          <w:szCs w:val="26"/>
        </w:rPr>
        <w:t xml:space="preserve"> (</w:t>
      </w:r>
      <w:r w:rsidR="00594714">
        <w:rPr>
          <w:sz w:val="26"/>
          <w:szCs w:val="26"/>
        </w:rPr>
        <w:t>četri tūkstoši</w:t>
      </w:r>
      <w:r>
        <w:rPr>
          <w:sz w:val="26"/>
          <w:szCs w:val="26"/>
        </w:rPr>
        <w:t xml:space="preserve"> </w:t>
      </w:r>
      <w:r w:rsidR="00594714">
        <w:rPr>
          <w:sz w:val="26"/>
          <w:szCs w:val="26"/>
        </w:rPr>
        <w:t>divi</w:t>
      </w:r>
      <w:r>
        <w:rPr>
          <w:sz w:val="26"/>
          <w:szCs w:val="26"/>
        </w:rPr>
        <w:t xml:space="preserve"> simti </w:t>
      </w:r>
      <w:r w:rsidR="00594714">
        <w:rPr>
          <w:sz w:val="26"/>
          <w:szCs w:val="26"/>
        </w:rPr>
        <w:t>septiņ</w:t>
      </w:r>
      <w:r>
        <w:rPr>
          <w:sz w:val="26"/>
          <w:szCs w:val="26"/>
        </w:rPr>
        <w:t xml:space="preserve">desmit </w:t>
      </w:r>
      <w:r w:rsidR="00594714">
        <w:rPr>
          <w:sz w:val="26"/>
          <w:szCs w:val="26"/>
        </w:rPr>
        <w:t>trīs</w:t>
      </w:r>
      <w:r>
        <w:rPr>
          <w:sz w:val="26"/>
          <w:szCs w:val="26"/>
        </w:rPr>
        <w:t xml:space="preserve"> </w:t>
      </w:r>
      <w:r w:rsidRPr="00A34005">
        <w:rPr>
          <w:i/>
          <w:sz w:val="26"/>
          <w:szCs w:val="26"/>
        </w:rPr>
        <w:t>euro</w:t>
      </w:r>
      <w:r>
        <w:rPr>
          <w:sz w:val="26"/>
          <w:szCs w:val="26"/>
        </w:rPr>
        <w:t>)</w:t>
      </w:r>
      <w:r w:rsidRPr="00FB5A70">
        <w:rPr>
          <w:sz w:val="26"/>
          <w:szCs w:val="26"/>
        </w:rPr>
        <w:t>;</w:t>
      </w:r>
    </w:p>
    <w:p w14:paraId="4560547F" w14:textId="77777777" w:rsidR="00B17123" w:rsidRPr="00FB5A70" w:rsidRDefault="00B17123" w:rsidP="00B17123">
      <w:pPr>
        <w:numPr>
          <w:ilvl w:val="1"/>
          <w:numId w:val="26"/>
        </w:numPr>
        <w:ind w:left="992" w:hanging="567"/>
        <w:jc w:val="both"/>
        <w:rPr>
          <w:sz w:val="26"/>
          <w:szCs w:val="26"/>
        </w:rPr>
      </w:pPr>
      <w:r w:rsidRPr="00FB5A70">
        <w:rPr>
          <w:sz w:val="26"/>
          <w:szCs w:val="26"/>
        </w:rPr>
        <w:t xml:space="preserve">otrās </w:t>
      </w:r>
      <w:r>
        <w:rPr>
          <w:sz w:val="26"/>
          <w:szCs w:val="26"/>
        </w:rPr>
        <w:t>izsoles reģistrācijas maksu – 140 </w:t>
      </w:r>
      <w:r w:rsidRPr="00A34005">
        <w:rPr>
          <w:i/>
          <w:sz w:val="26"/>
          <w:szCs w:val="26"/>
        </w:rPr>
        <w:t>euro</w:t>
      </w:r>
      <w:r w:rsidRPr="00FB5A70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viens simts četrdesmit </w:t>
      </w:r>
      <w:r w:rsidRPr="00A34005">
        <w:rPr>
          <w:i/>
          <w:sz w:val="26"/>
          <w:szCs w:val="26"/>
        </w:rPr>
        <w:t>euro</w:t>
      </w:r>
      <w:r w:rsidRPr="00FB5A70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14:paraId="1B966022" w14:textId="483CBDE0" w:rsidR="00B17123" w:rsidRDefault="00B17123" w:rsidP="00B17123">
      <w:pPr>
        <w:pStyle w:val="ListParagraph"/>
        <w:numPr>
          <w:ilvl w:val="1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992" w:hanging="567"/>
        <w:jc w:val="both"/>
        <w:textAlignment w:val="baseline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>otrās izsoles nodrošinājumu 10 </w:t>
      </w:r>
      <w:r w:rsidRPr="00837927">
        <w:rPr>
          <w:rFonts w:ascii="Times New Roman" w:hAnsi="Times New Roman"/>
          <w:sz w:val="26"/>
          <w:szCs w:val="26"/>
          <w:lang w:val="lv-LV"/>
        </w:rPr>
        <w:t>% apmērā no otr</w:t>
      </w:r>
      <w:r>
        <w:rPr>
          <w:rFonts w:ascii="Times New Roman" w:hAnsi="Times New Roman"/>
          <w:sz w:val="26"/>
          <w:szCs w:val="26"/>
          <w:lang w:val="lv-LV"/>
        </w:rPr>
        <w:t xml:space="preserve">ās izsoles sākumcenas, tas ir </w:t>
      </w:r>
      <w:r w:rsidR="00594714">
        <w:rPr>
          <w:rFonts w:ascii="Times New Roman" w:hAnsi="Times New Roman"/>
          <w:sz w:val="26"/>
          <w:szCs w:val="26"/>
          <w:lang w:val="lv-LV"/>
        </w:rPr>
        <w:t>6 104</w:t>
      </w:r>
      <w:r>
        <w:rPr>
          <w:rFonts w:ascii="Times New Roman" w:hAnsi="Times New Roman"/>
          <w:sz w:val="26"/>
          <w:szCs w:val="26"/>
          <w:lang w:val="lv-LV"/>
        </w:rPr>
        <w:t> </w:t>
      </w:r>
      <w:r w:rsidRPr="00A34005">
        <w:rPr>
          <w:rFonts w:ascii="Times New Roman" w:hAnsi="Times New Roman"/>
          <w:i/>
          <w:sz w:val="26"/>
          <w:szCs w:val="26"/>
          <w:lang w:val="lv-LV"/>
        </w:rPr>
        <w:t>euro</w:t>
      </w:r>
      <w:r w:rsidRPr="00837927">
        <w:rPr>
          <w:rFonts w:ascii="Times New Roman" w:hAnsi="Times New Roman"/>
          <w:sz w:val="26"/>
          <w:szCs w:val="26"/>
          <w:lang w:val="lv-LV"/>
        </w:rPr>
        <w:t xml:space="preserve"> (</w:t>
      </w:r>
      <w:r w:rsidR="00594714">
        <w:rPr>
          <w:rFonts w:ascii="Times New Roman" w:hAnsi="Times New Roman"/>
          <w:sz w:val="26"/>
          <w:szCs w:val="26"/>
          <w:lang w:val="lv-LV"/>
        </w:rPr>
        <w:t>seši</w:t>
      </w:r>
      <w:r>
        <w:rPr>
          <w:rFonts w:ascii="Times New Roman" w:hAnsi="Times New Roman"/>
          <w:sz w:val="26"/>
          <w:szCs w:val="26"/>
          <w:lang w:val="lv-LV"/>
        </w:rPr>
        <w:t xml:space="preserve"> tūksto</w:t>
      </w:r>
      <w:r w:rsidR="00594714">
        <w:rPr>
          <w:rFonts w:ascii="Times New Roman" w:hAnsi="Times New Roman"/>
          <w:sz w:val="26"/>
          <w:szCs w:val="26"/>
          <w:lang w:val="lv-LV"/>
        </w:rPr>
        <w:t>ši</w:t>
      </w:r>
      <w:r>
        <w:rPr>
          <w:rFonts w:ascii="Times New Roman" w:hAnsi="Times New Roman"/>
          <w:sz w:val="26"/>
          <w:szCs w:val="26"/>
          <w:lang w:val="lv-LV"/>
        </w:rPr>
        <w:t xml:space="preserve"> </w:t>
      </w:r>
      <w:r w:rsidR="00594714">
        <w:rPr>
          <w:rFonts w:ascii="Times New Roman" w:hAnsi="Times New Roman"/>
          <w:sz w:val="26"/>
          <w:szCs w:val="26"/>
          <w:lang w:val="lv-LV"/>
        </w:rPr>
        <w:t>viens simts</w:t>
      </w:r>
      <w:r>
        <w:rPr>
          <w:rFonts w:ascii="Times New Roman" w:hAnsi="Times New Roman"/>
          <w:sz w:val="26"/>
          <w:szCs w:val="26"/>
          <w:lang w:val="lv-LV"/>
        </w:rPr>
        <w:t xml:space="preserve"> </w:t>
      </w:r>
      <w:r w:rsidR="00594714">
        <w:rPr>
          <w:rFonts w:ascii="Times New Roman" w:hAnsi="Times New Roman"/>
          <w:sz w:val="26"/>
          <w:szCs w:val="26"/>
          <w:lang w:val="lv-LV"/>
        </w:rPr>
        <w:t>četri</w:t>
      </w:r>
      <w:r>
        <w:rPr>
          <w:rFonts w:ascii="Times New Roman" w:hAnsi="Times New Roman"/>
          <w:sz w:val="26"/>
          <w:szCs w:val="26"/>
          <w:lang w:val="lv-LV"/>
        </w:rPr>
        <w:t xml:space="preserve"> </w:t>
      </w:r>
      <w:r w:rsidRPr="00A34005">
        <w:rPr>
          <w:rFonts w:ascii="Times New Roman" w:hAnsi="Times New Roman"/>
          <w:i/>
          <w:sz w:val="26"/>
          <w:szCs w:val="26"/>
          <w:lang w:val="lv-LV"/>
        </w:rPr>
        <w:t>euro</w:t>
      </w:r>
      <w:r w:rsidRPr="00837927">
        <w:rPr>
          <w:rFonts w:ascii="Times New Roman" w:hAnsi="Times New Roman"/>
          <w:sz w:val="26"/>
          <w:szCs w:val="26"/>
          <w:lang w:val="lv-LV"/>
        </w:rPr>
        <w:t>)</w:t>
      </w:r>
      <w:r>
        <w:rPr>
          <w:rFonts w:ascii="Times New Roman" w:hAnsi="Times New Roman"/>
          <w:sz w:val="26"/>
          <w:szCs w:val="26"/>
          <w:lang w:val="lv-LV"/>
        </w:rPr>
        <w:t>.</w:t>
      </w:r>
    </w:p>
    <w:p w14:paraId="4317AC6F" w14:textId="77777777" w:rsidR="00594714" w:rsidRDefault="00B17123" w:rsidP="00594714">
      <w:pPr>
        <w:pStyle w:val="ListParagraph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hAnsi="Times New Roman"/>
          <w:sz w:val="26"/>
          <w:szCs w:val="26"/>
          <w:lang w:val="lv-LV"/>
        </w:rPr>
      </w:pPr>
      <w:r w:rsidRPr="00F01ADD">
        <w:rPr>
          <w:rFonts w:ascii="Times New Roman" w:hAnsi="Times New Roman"/>
          <w:sz w:val="26"/>
          <w:szCs w:val="26"/>
          <w:lang w:val="lv-LV"/>
        </w:rPr>
        <w:t>Noteikt, ka</w:t>
      </w:r>
      <w:r>
        <w:rPr>
          <w:rFonts w:ascii="Times New Roman" w:hAnsi="Times New Roman"/>
          <w:sz w:val="26"/>
          <w:szCs w:val="26"/>
          <w:lang w:val="lv-LV"/>
        </w:rPr>
        <w:t xml:space="preserve"> dzīvokļa īpašums Nr. </w:t>
      </w:r>
      <w:r w:rsidR="00594714">
        <w:rPr>
          <w:rFonts w:ascii="Times New Roman" w:hAnsi="Times New Roman"/>
          <w:sz w:val="26"/>
          <w:szCs w:val="26"/>
          <w:lang w:val="lv-LV"/>
        </w:rPr>
        <w:t>77</w:t>
      </w:r>
      <w:r>
        <w:rPr>
          <w:rFonts w:ascii="Times New Roman" w:hAnsi="Times New Roman"/>
          <w:sz w:val="26"/>
          <w:szCs w:val="26"/>
          <w:lang w:val="lv-LV"/>
        </w:rPr>
        <w:t xml:space="preserve"> </w:t>
      </w:r>
      <w:r w:rsidRPr="00F01ADD">
        <w:rPr>
          <w:rFonts w:ascii="Times New Roman" w:hAnsi="Times New Roman"/>
          <w:sz w:val="26"/>
          <w:szCs w:val="26"/>
          <w:lang w:val="lv-LV"/>
        </w:rPr>
        <w:t>tiek atsavināts ar tūlītēju samaksu (samaksu veicot viena mēneša laikā pēc izsoles).</w:t>
      </w:r>
    </w:p>
    <w:p w14:paraId="13F3B151" w14:textId="64D6F419" w:rsidR="004D0100" w:rsidRPr="00594714" w:rsidRDefault="00B17123" w:rsidP="00594714">
      <w:pPr>
        <w:pStyle w:val="ListParagraph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hAnsi="Times New Roman"/>
          <w:sz w:val="26"/>
          <w:szCs w:val="26"/>
          <w:lang w:val="lv-LV"/>
        </w:rPr>
      </w:pPr>
      <w:r w:rsidRPr="00594714">
        <w:rPr>
          <w:rFonts w:ascii="Times New Roman" w:hAnsi="Times New Roman"/>
          <w:sz w:val="26"/>
          <w:szCs w:val="26"/>
          <w:lang w:val="lv-LV"/>
        </w:rPr>
        <w:t>Jūrmalas Mantas novērtēšanas un izsoļu komisijai organizēt dzīvokļa īpašuma Nr. </w:t>
      </w:r>
      <w:r w:rsidR="00594714">
        <w:rPr>
          <w:rFonts w:ascii="Times New Roman" w:hAnsi="Times New Roman"/>
          <w:sz w:val="26"/>
          <w:szCs w:val="26"/>
          <w:lang w:val="lv-LV"/>
        </w:rPr>
        <w:t>77</w:t>
      </w:r>
      <w:r w:rsidRPr="00594714">
        <w:rPr>
          <w:rFonts w:ascii="Times New Roman" w:hAnsi="Times New Roman"/>
          <w:sz w:val="26"/>
          <w:szCs w:val="26"/>
          <w:lang w:val="lv-LV"/>
        </w:rPr>
        <w:t xml:space="preserve"> otro izsoli kārtībā, kāda noteikta izsoles noteikumos, kas apstiprināti ar Jūrmalas domes 2022. gada </w:t>
      </w:r>
      <w:r w:rsidRPr="00594714">
        <w:rPr>
          <w:rFonts w:ascii="Times New Roman" w:hAnsi="Times New Roman"/>
          <w:sz w:val="26"/>
          <w:szCs w:val="26"/>
          <w:lang w:val="lv-LV" w:eastAsia="ar-SA"/>
        </w:rPr>
        <w:t>2</w:t>
      </w:r>
      <w:r w:rsidR="00594714">
        <w:rPr>
          <w:rFonts w:ascii="Times New Roman" w:hAnsi="Times New Roman"/>
          <w:sz w:val="26"/>
          <w:szCs w:val="26"/>
          <w:lang w:val="lv-LV" w:eastAsia="ar-SA"/>
        </w:rPr>
        <w:t>4</w:t>
      </w:r>
      <w:r w:rsidRPr="00594714">
        <w:rPr>
          <w:rFonts w:ascii="Times New Roman" w:hAnsi="Times New Roman"/>
          <w:sz w:val="26"/>
          <w:szCs w:val="26"/>
          <w:lang w:val="lv-LV" w:eastAsia="ar-SA"/>
        </w:rPr>
        <w:t>. </w:t>
      </w:r>
      <w:r w:rsidR="00594714">
        <w:rPr>
          <w:rFonts w:ascii="Times New Roman" w:hAnsi="Times New Roman"/>
          <w:sz w:val="26"/>
          <w:szCs w:val="26"/>
          <w:lang w:val="lv-LV" w:eastAsia="ar-SA"/>
        </w:rPr>
        <w:t>novembra</w:t>
      </w:r>
      <w:r w:rsidRPr="00594714">
        <w:rPr>
          <w:rFonts w:ascii="Times New Roman" w:hAnsi="Times New Roman"/>
          <w:sz w:val="26"/>
          <w:szCs w:val="26"/>
          <w:lang w:val="lv-LV" w:eastAsia="ar-SA"/>
        </w:rPr>
        <w:t xml:space="preserve"> lēmumu </w:t>
      </w:r>
      <w:r w:rsidRPr="00594714">
        <w:rPr>
          <w:rFonts w:ascii="Times New Roman" w:hAnsi="Times New Roman"/>
          <w:sz w:val="26"/>
          <w:szCs w:val="26"/>
          <w:lang w:val="lv-LV"/>
        </w:rPr>
        <w:t>Nr. 5</w:t>
      </w:r>
      <w:r w:rsidR="00594714">
        <w:rPr>
          <w:rFonts w:ascii="Times New Roman" w:hAnsi="Times New Roman"/>
          <w:sz w:val="26"/>
          <w:szCs w:val="26"/>
          <w:lang w:val="lv-LV"/>
        </w:rPr>
        <w:t>56</w:t>
      </w:r>
      <w:r w:rsidRPr="00594714">
        <w:rPr>
          <w:rFonts w:ascii="Times New Roman" w:hAnsi="Times New Roman"/>
          <w:sz w:val="26"/>
          <w:szCs w:val="26"/>
          <w:lang w:val="lv-LV"/>
        </w:rPr>
        <w:t xml:space="preserve"> “Par dzīvokļa īpašuma Nr. </w:t>
      </w:r>
      <w:r w:rsidR="00594714">
        <w:rPr>
          <w:rFonts w:ascii="Times New Roman" w:hAnsi="Times New Roman"/>
          <w:sz w:val="26"/>
          <w:szCs w:val="26"/>
          <w:lang w:val="lv-LV"/>
        </w:rPr>
        <w:t>77</w:t>
      </w:r>
      <w:r w:rsidRPr="00594714">
        <w:rPr>
          <w:rFonts w:ascii="Times New Roman" w:hAnsi="Times New Roman"/>
          <w:sz w:val="26"/>
          <w:szCs w:val="26"/>
          <w:lang w:val="lv-LV"/>
        </w:rPr>
        <w:t xml:space="preserve"> T</w:t>
      </w:r>
      <w:r w:rsidR="00594714">
        <w:rPr>
          <w:rFonts w:ascii="Times New Roman" w:hAnsi="Times New Roman"/>
          <w:sz w:val="26"/>
          <w:szCs w:val="26"/>
          <w:lang w:val="lv-LV"/>
        </w:rPr>
        <w:t>ērbatas</w:t>
      </w:r>
      <w:r w:rsidRPr="00594714">
        <w:rPr>
          <w:rFonts w:ascii="Times New Roman" w:hAnsi="Times New Roman"/>
          <w:sz w:val="26"/>
          <w:szCs w:val="26"/>
          <w:lang w:val="lv-LV"/>
        </w:rPr>
        <w:t xml:space="preserve"> ielā </w:t>
      </w:r>
      <w:r w:rsidR="00594714">
        <w:rPr>
          <w:rFonts w:ascii="Times New Roman" w:hAnsi="Times New Roman"/>
          <w:sz w:val="26"/>
          <w:szCs w:val="26"/>
          <w:lang w:val="lv-LV"/>
        </w:rPr>
        <w:t>43</w:t>
      </w:r>
      <w:r w:rsidRPr="00594714">
        <w:rPr>
          <w:rFonts w:ascii="Times New Roman" w:hAnsi="Times New Roman"/>
          <w:sz w:val="26"/>
          <w:szCs w:val="26"/>
          <w:lang w:val="lv-LV"/>
        </w:rPr>
        <w:t>, Jūrmalā, pirmās izsoles organizēšanu”, ievērojot šī lēmuma 2. un 3. punktā noteikto.</w:t>
      </w:r>
    </w:p>
    <w:p w14:paraId="3EF83AAC" w14:textId="17349664" w:rsidR="0016125F" w:rsidRDefault="0016125F" w:rsidP="004D0100">
      <w:pPr>
        <w:pStyle w:val="BodyTextIndent"/>
        <w:spacing w:after="0"/>
        <w:ind w:left="0"/>
        <w:jc w:val="both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03"/>
        <w:gridCol w:w="2958"/>
        <w:gridCol w:w="2694"/>
      </w:tblGrid>
      <w:tr w:rsidR="004D0100" w14:paraId="147A75AD" w14:textId="77777777" w:rsidTr="00D45DDA">
        <w:trPr>
          <w:trHeight w:val="131"/>
        </w:trPr>
        <w:tc>
          <w:tcPr>
            <w:tcW w:w="1979" w:type="pct"/>
            <w:hideMark/>
          </w:tcPr>
          <w:p w14:paraId="06E61D76" w14:textId="11FF9AD5" w:rsidR="004D0100" w:rsidRDefault="004D0100" w:rsidP="00D45DDA">
            <w:pPr>
              <w:ind w:left="-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Priekšsēdētāja</w:t>
            </w:r>
          </w:p>
        </w:tc>
        <w:tc>
          <w:tcPr>
            <w:tcW w:w="1581" w:type="pct"/>
            <w:hideMark/>
          </w:tcPr>
          <w:p w14:paraId="4504F1B6" w14:textId="072DAA5E" w:rsidR="004D0100" w:rsidRDefault="004D0100" w:rsidP="00D45DDA">
            <w:pPr>
              <w:rPr>
                <w:sz w:val="26"/>
                <w:szCs w:val="26"/>
              </w:rPr>
            </w:pPr>
          </w:p>
        </w:tc>
        <w:tc>
          <w:tcPr>
            <w:tcW w:w="1440" w:type="pct"/>
            <w:hideMark/>
          </w:tcPr>
          <w:p w14:paraId="69B9B5A5" w14:textId="1304C0A9" w:rsidR="004D0100" w:rsidRDefault="004D0100" w:rsidP="00D45DDA">
            <w:pPr>
              <w:ind w:right="-11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R. Sproģe</w:t>
            </w:r>
          </w:p>
        </w:tc>
      </w:tr>
    </w:tbl>
    <w:p w14:paraId="7E2692AE" w14:textId="0B54EF20" w:rsidR="009F3A5C" w:rsidRPr="004D0100" w:rsidRDefault="009F3A5C" w:rsidP="00E811D8">
      <w:pPr>
        <w:rPr>
          <w:rFonts w:eastAsia="Calibri"/>
          <w:sz w:val="20"/>
          <w:lang w:eastAsia="en-US"/>
        </w:rPr>
      </w:pPr>
      <w:bookmarkStart w:id="0" w:name="_GoBack"/>
      <w:bookmarkEnd w:id="0"/>
    </w:p>
    <w:sectPr w:rsidR="009F3A5C" w:rsidRPr="004D0100" w:rsidSect="003276E3">
      <w:headerReference w:type="default" r:id="rId8"/>
      <w:footerReference w:type="default" r:id="rId9"/>
      <w:pgSz w:w="11907" w:h="16840" w:code="9"/>
      <w:pgMar w:top="1134" w:right="851" w:bottom="1134" w:left="1701" w:header="39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1B0D5" w14:textId="77777777" w:rsidR="00C43D3B" w:rsidRDefault="00C43D3B" w:rsidP="002E744E">
      <w:r>
        <w:separator/>
      </w:r>
    </w:p>
  </w:endnote>
  <w:endnote w:type="continuationSeparator" w:id="0">
    <w:p w14:paraId="505BFD69" w14:textId="77777777" w:rsidR="00C43D3B" w:rsidRDefault="00C43D3B" w:rsidP="002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ewtonTT Baltic">
    <w:altName w:val="Cambria"/>
    <w:charset w:val="BA"/>
    <w:family w:val="roman"/>
    <w:pitch w:val="variable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F4D21" w14:textId="55024BFA" w:rsidR="007809B6" w:rsidRDefault="007809B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11D8">
      <w:rPr>
        <w:noProof/>
      </w:rPr>
      <w:t>2</w:t>
    </w:r>
    <w:r>
      <w:rPr>
        <w:noProof/>
      </w:rPr>
      <w:fldChar w:fldCharType="end"/>
    </w:r>
  </w:p>
  <w:p w14:paraId="280EA715" w14:textId="77777777" w:rsidR="007809B6" w:rsidRDefault="007809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22112" w14:textId="77777777" w:rsidR="00C43D3B" w:rsidRDefault="00C43D3B" w:rsidP="002E744E">
      <w:r>
        <w:separator/>
      </w:r>
    </w:p>
  </w:footnote>
  <w:footnote w:type="continuationSeparator" w:id="0">
    <w:p w14:paraId="2B94F561" w14:textId="77777777" w:rsidR="00C43D3B" w:rsidRDefault="00C43D3B" w:rsidP="002E7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A2170" w14:textId="77777777" w:rsidR="002E744E" w:rsidRDefault="002E744E" w:rsidP="00ED1E8E">
    <w:pPr>
      <w:pStyle w:val="Header"/>
      <w:tabs>
        <w:tab w:val="clear" w:pos="4320"/>
        <w:tab w:val="clear" w:pos="8640"/>
        <w:tab w:val="left" w:pos="39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B31"/>
    <w:multiLevelType w:val="hybridMultilevel"/>
    <w:tmpl w:val="15E8DF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17EC"/>
    <w:multiLevelType w:val="multilevel"/>
    <w:tmpl w:val="C1A8C8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48A58A0"/>
    <w:multiLevelType w:val="multilevel"/>
    <w:tmpl w:val="199E2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55A6C11"/>
    <w:multiLevelType w:val="multilevel"/>
    <w:tmpl w:val="1BD04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CCA652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4D014A5"/>
    <w:multiLevelType w:val="hybridMultilevel"/>
    <w:tmpl w:val="3DAEB3B4"/>
    <w:lvl w:ilvl="0" w:tplc="E5AEF0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A72D51"/>
    <w:multiLevelType w:val="hybridMultilevel"/>
    <w:tmpl w:val="9B4C39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0132B"/>
    <w:multiLevelType w:val="hybridMultilevel"/>
    <w:tmpl w:val="3104F782"/>
    <w:lvl w:ilvl="0" w:tplc="F9B2A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E63164">
      <w:numFmt w:val="none"/>
      <w:lvlText w:val=""/>
      <w:lvlJc w:val="left"/>
      <w:pPr>
        <w:tabs>
          <w:tab w:val="num" w:pos="360"/>
        </w:tabs>
      </w:pPr>
    </w:lvl>
    <w:lvl w:ilvl="2" w:tplc="25906A88">
      <w:numFmt w:val="none"/>
      <w:lvlText w:val=""/>
      <w:lvlJc w:val="left"/>
      <w:pPr>
        <w:tabs>
          <w:tab w:val="num" w:pos="360"/>
        </w:tabs>
      </w:pPr>
    </w:lvl>
    <w:lvl w:ilvl="3" w:tplc="50B83A3A">
      <w:numFmt w:val="none"/>
      <w:lvlText w:val=""/>
      <w:lvlJc w:val="left"/>
      <w:pPr>
        <w:tabs>
          <w:tab w:val="num" w:pos="360"/>
        </w:tabs>
      </w:pPr>
    </w:lvl>
    <w:lvl w:ilvl="4" w:tplc="11621A56">
      <w:numFmt w:val="none"/>
      <w:lvlText w:val=""/>
      <w:lvlJc w:val="left"/>
      <w:pPr>
        <w:tabs>
          <w:tab w:val="num" w:pos="360"/>
        </w:tabs>
      </w:pPr>
    </w:lvl>
    <w:lvl w:ilvl="5" w:tplc="CB22941E">
      <w:numFmt w:val="none"/>
      <w:lvlText w:val=""/>
      <w:lvlJc w:val="left"/>
      <w:pPr>
        <w:tabs>
          <w:tab w:val="num" w:pos="360"/>
        </w:tabs>
      </w:pPr>
    </w:lvl>
    <w:lvl w:ilvl="6" w:tplc="B8CE2BF0">
      <w:numFmt w:val="none"/>
      <w:lvlText w:val=""/>
      <w:lvlJc w:val="left"/>
      <w:pPr>
        <w:tabs>
          <w:tab w:val="num" w:pos="360"/>
        </w:tabs>
      </w:pPr>
    </w:lvl>
    <w:lvl w:ilvl="7" w:tplc="0534E790">
      <w:numFmt w:val="none"/>
      <w:lvlText w:val=""/>
      <w:lvlJc w:val="left"/>
      <w:pPr>
        <w:tabs>
          <w:tab w:val="num" w:pos="360"/>
        </w:tabs>
      </w:pPr>
    </w:lvl>
    <w:lvl w:ilvl="8" w:tplc="3BCC49C2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BFD0047"/>
    <w:multiLevelType w:val="hybridMultilevel"/>
    <w:tmpl w:val="8B84C09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43B09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471285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D2E0917"/>
    <w:multiLevelType w:val="multilevel"/>
    <w:tmpl w:val="2F8EB2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3132031C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AFB4321"/>
    <w:multiLevelType w:val="hybridMultilevel"/>
    <w:tmpl w:val="82BAB26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B73E7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D266E80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691CC95"/>
    <w:multiLevelType w:val="hybridMultilevel"/>
    <w:tmpl w:val="6DB8B6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99A2BDC"/>
    <w:multiLevelType w:val="multilevel"/>
    <w:tmpl w:val="21F2A4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3"/>
      </w:rPr>
    </w:lvl>
  </w:abstractNum>
  <w:abstractNum w:abstractNumId="18" w15:restartNumberingAfterBreak="0">
    <w:nsid w:val="5E5945CE"/>
    <w:multiLevelType w:val="hybridMultilevel"/>
    <w:tmpl w:val="C7BC19D6"/>
    <w:lvl w:ilvl="0" w:tplc="9E3A932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F7D137D"/>
    <w:multiLevelType w:val="multilevel"/>
    <w:tmpl w:val="31BEB05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 w15:restartNumberingAfterBreak="0">
    <w:nsid w:val="6287158F"/>
    <w:multiLevelType w:val="hybridMultilevel"/>
    <w:tmpl w:val="2716D100"/>
    <w:lvl w:ilvl="0" w:tplc="5BE024C0">
      <w:start w:val="1"/>
      <w:numFmt w:val="decimal"/>
      <w:lvlText w:val="%1."/>
      <w:lvlJc w:val="left"/>
      <w:pPr>
        <w:ind w:left="623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98" w:hanging="360"/>
      </w:pPr>
    </w:lvl>
    <w:lvl w:ilvl="2" w:tplc="0426001B" w:tentative="1">
      <w:start w:val="1"/>
      <w:numFmt w:val="lowerRoman"/>
      <w:lvlText w:val="%3."/>
      <w:lvlJc w:val="right"/>
      <w:pPr>
        <w:ind w:left="2018" w:hanging="180"/>
      </w:pPr>
    </w:lvl>
    <w:lvl w:ilvl="3" w:tplc="0426000F" w:tentative="1">
      <w:start w:val="1"/>
      <w:numFmt w:val="decimal"/>
      <w:lvlText w:val="%4."/>
      <w:lvlJc w:val="left"/>
      <w:pPr>
        <w:ind w:left="2738" w:hanging="360"/>
      </w:pPr>
    </w:lvl>
    <w:lvl w:ilvl="4" w:tplc="04260019" w:tentative="1">
      <w:start w:val="1"/>
      <w:numFmt w:val="lowerLetter"/>
      <w:lvlText w:val="%5."/>
      <w:lvlJc w:val="left"/>
      <w:pPr>
        <w:ind w:left="3458" w:hanging="360"/>
      </w:pPr>
    </w:lvl>
    <w:lvl w:ilvl="5" w:tplc="0426001B" w:tentative="1">
      <w:start w:val="1"/>
      <w:numFmt w:val="lowerRoman"/>
      <w:lvlText w:val="%6."/>
      <w:lvlJc w:val="right"/>
      <w:pPr>
        <w:ind w:left="4178" w:hanging="180"/>
      </w:pPr>
    </w:lvl>
    <w:lvl w:ilvl="6" w:tplc="0426000F" w:tentative="1">
      <w:start w:val="1"/>
      <w:numFmt w:val="decimal"/>
      <w:lvlText w:val="%7."/>
      <w:lvlJc w:val="left"/>
      <w:pPr>
        <w:ind w:left="4898" w:hanging="360"/>
      </w:pPr>
    </w:lvl>
    <w:lvl w:ilvl="7" w:tplc="04260019" w:tentative="1">
      <w:start w:val="1"/>
      <w:numFmt w:val="lowerLetter"/>
      <w:lvlText w:val="%8."/>
      <w:lvlJc w:val="left"/>
      <w:pPr>
        <w:ind w:left="5618" w:hanging="360"/>
      </w:pPr>
    </w:lvl>
    <w:lvl w:ilvl="8" w:tplc="042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67B859B3"/>
    <w:multiLevelType w:val="hybridMultilevel"/>
    <w:tmpl w:val="C8AC1C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B4FAC"/>
    <w:multiLevelType w:val="multilevel"/>
    <w:tmpl w:val="B016CC2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3" w15:restartNumberingAfterBreak="0">
    <w:nsid w:val="6F2C350B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8983A21"/>
    <w:multiLevelType w:val="hybridMultilevel"/>
    <w:tmpl w:val="A64080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F21200"/>
    <w:multiLevelType w:val="hybridMultilevel"/>
    <w:tmpl w:val="027CB030"/>
    <w:lvl w:ilvl="0" w:tplc="CB5E682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7"/>
  </w:num>
  <w:num w:numId="3">
    <w:abstractNumId w:val="16"/>
  </w:num>
  <w:num w:numId="4">
    <w:abstractNumId w:val="17"/>
  </w:num>
  <w:num w:numId="5">
    <w:abstractNumId w:val="15"/>
  </w:num>
  <w:num w:numId="6">
    <w:abstractNumId w:val="9"/>
  </w:num>
  <w:num w:numId="7">
    <w:abstractNumId w:val="4"/>
  </w:num>
  <w:num w:numId="8">
    <w:abstractNumId w:val="14"/>
  </w:num>
  <w:num w:numId="9">
    <w:abstractNumId w:val="23"/>
  </w:num>
  <w:num w:numId="10">
    <w:abstractNumId w:val="10"/>
  </w:num>
  <w:num w:numId="11">
    <w:abstractNumId w:val="12"/>
  </w:num>
  <w:num w:numId="12">
    <w:abstractNumId w:val="13"/>
  </w:num>
  <w:num w:numId="13">
    <w:abstractNumId w:val="3"/>
  </w:num>
  <w:num w:numId="14">
    <w:abstractNumId w:val="2"/>
  </w:num>
  <w:num w:numId="15">
    <w:abstractNumId w:val="5"/>
  </w:num>
  <w:num w:numId="16">
    <w:abstractNumId w:val="19"/>
  </w:num>
  <w:num w:numId="17">
    <w:abstractNumId w:val="24"/>
  </w:num>
  <w:num w:numId="18">
    <w:abstractNumId w:val="0"/>
  </w:num>
  <w:num w:numId="19">
    <w:abstractNumId w:val="6"/>
  </w:num>
  <w:num w:numId="20">
    <w:abstractNumId w:val="21"/>
  </w:num>
  <w:num w:numId="21">
    <w:abstractNumId w:val="22"/>
  </w:num>
  <w:num w:numId="22">
    <w:abstractNumId w:val="1"/>
  </w:num>
  <w:num w:numId="23">
    <w:abstractNumId w:val="18"/>
  </w:num>
  <w:num w:numId="24">
    <w:abstractNumId w:val="25"/>
  </w:num>
  <w:num w:numId="25">
    <w:abstractNumId w:val="2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AE"/>
    <w:rsid w:val="00001157"/>
    <w:rsid w:val="0000447A"/>
    <w:rsid w:val="00005BEE"/>
    <w:rsid w:val="000152AD"/>
    <w:rsid w:val="00041F0D"/>
    <w:rsid w:val="00043940"/>
    <w:rsid w:val="00044DB6"/>
    <w:rsid w:val="00066136"/>
    <w:rsid w:val="00074FDB"/>
    <w:rsid w:val="00076EF2"/>
    <w:rsid w:val="000B0EE2"/>
    <w:rsid w:val="000B343A"/>
    <w:rsid w:val="000B6867"/>
    <w:rsid w:val="000B68F1"/>
    <w:rsid w:val="000B790E"/>
    <w:rsid w:val="000C20AF"/>
    <w:rsid w:val="000D6223"/>
    <w:rsid w:val="000D6828"/>
    <w:rsid w:val="000D7E42"/>
    <w:rsid w:val="000E4D85"/>
    <w:rsid w:val="000F0219"/>
    <w:rsid w:val="00114DAA"/>
    <w:rsid w:val="0012440F"/>
    <w:rsid w:val="00131B46"/>
    <w:rsid w:val="001352B7"/>
    <w:rsid w:val="00135C57"/>
    <w:rsid w:val="0014066C"/>
    <w:rsid w:val="001565E2"/>
    <w:rsid w:val="0016125F"/>
    <w:rsid w:val="001A1F78"/>
    <w:rsid w:val="001A7A80"/>
    <w:rsid w:val="001C6A0A"/>
    <w:rsid w:val="001D1714"/>
    <w:rsid w:val="002005BB"/>
    <w:rsid w:val="00245E80"/>
    <w:rsid w:val="00262115"/>
    <w:rsid w:val="002653EE"/>
    <w:rsid w:val="002669F4"/>
    <w:rsid w:val="00270E84"/>
    <w:rsid w:val="00272532"/>
    <w:rsid w:val="00285452"/>
    <w:rsid w:val="00291EC2"/>
    <w:rsid w:val="00296408"/>
    <w:rsid w:val="002967AD"/>
    <w:rsid w:val="002A1989"/>
    <w:rsid w:val="002B1166"/>
    <w:rsid w:val="002C11E3"/>
    <w:rsid w:val="002E0BE8"/>
    <w:rsid w:val="002E2FB0"/>
    <w:rsid w:val="002E744E"/>
    <w:rsid w:val="002F38CE"/>
    <w:rsid w:val="003021BA"/>
    <w:rsid w:val="00326E58"/>
    <w:rsid w:val="003276E3"/>
    <w:rsid w:val="00356BF3"/>
    <w:rsid w:val="00361EC0"/>
    <w:rsid w:val="00371E42"/>
    <w:rsid w:val="00375602"/>
    <w:rsid w:val="003772DC"/>
    <w:rsid w:val="00387E75"/>
    <w:rsid w:val="00396857"/>
    <w:rsid w:val="003A1E59"/>
    <w:rsid w:val="003A2542"/>
    <w:rsid w:val="003B6167"/>
    <w:rsid w:val="003B721F"/>
    <w:rsid w:val="003D22DC"/>
    <w:rsid w:val="003F16EB"/>
    <w:rsid w:val="00404476"/>
    <w:rsid w:val="004179E4"/>
    <w:rsid w:val="00423346"/>
    <w:rsid w:val="00426B63"/>
    <w:rsid w:val="00426BB7"/>
    <w:rsid w:val="00431451"/>
    <w:rsid w:val="00441766"/>
    <w:rsid w:val="00447E05"/>
    <w:rsid w:val="00455C1A"/>
    <w:rsid w:val="0049298C"/>
    <w:rsid w:val="004958CA"/>
    <w:rsid w:val="0049785B"/>
    <w:rsid w:val="004A016B"/>
    <w:rsid w:val="004A7A70"/>
    <w:rsid w:val="004B645F"/>
    <w:rsid w:val="004D0100"/>
    <w:rsid w:val="004D3FDD"/>
    <w:rsid w:val="004D5FD2"/>
    <w:rsid w:val="004E2CC5"/>
    <w:rsid w:val="005036B9"/>
    <w:rsid w:val="00520E5B"/>
    <w:rsid w:val="00526599"/>
    <w:rsid w:val="0052790F"/>
    <w:rsid w:val="00542A3E"/>
    <w:rsid w:val="0054385D"/>
    <w:rsid w:val="00571606"/>
    <w:rsid w:val="0058448D"/>
    <w:rsid w:val="00584D2B"/>
    <w:rsid w:val="00590C66"/>
    <w:rsid w:val="00594714"/>
    <w:rsid w:val="00595325"/>
    <w:rsid w:val="00597774"/>
    <w:rsid w:val="005A649C"/>
    <w:rsid w:val="005B4E0A"/>
    <w:rsid w:val="005C3658"/>
    <w:rsid w:val="005C49EF"/>
    <w:rsid w:val="005C588D"/>
    <w:rsid w:val="005C6C60"/>
    <w:rsid w:val="005D3731"/>
    <w:rsid w:val="005F6A2E"/>
    <w:rsid w:val="00603C7F"/>
    <w:rsid w:val="00606C5F"/>
    <w:rsid w:val="00620115"/>
    <w:rsid w:val="006247B6"/>
    <w:rsid w:val="00626DA6"/>
    <w:rsid w:val="0063592F"/>
    <w:rsid w:val="0063734D"/>
    <w:rsid w:val="00643E38"/>
    <w:rsid w:val="006521BA"/>
    <w:rsid w:val="00662039"/>
    <w:rsid w:val="006835B2"/>
    <w:rsid w:val="006A7A2C"/>
    <w:rsid w:val="006B6468"/>
    <w:rsid w:val="006C328C"/>
    <w:rsid w:val="006D59AC"/>
    <w:rsid w:val="006E0D0E"/>
    <w:rsid w:val="006E565B"/>
    <w:rsid w:val="006E61D6"/>
    <w:rsid w:val="006E7D95"/>
    <w:rsid w:val="006F017C"/>
    <w:rsid w:val="00702A0A"/>
    <w:rsid w:val="00706069"/>
    <w:rsid w:val="007062DB"/>
    <w:rsid w:val="0071178E"/>
    <w:rsid w:val="00712AD9"/>
    <w:rsid w:val="00716C6C"/>
    <w:rsid w:val="00726E36"/>
    <w:rsid w:val="00727089"/>
    <w:rsid w:val="00754A3B"/>
    <w:rsid w:val="00756410"/>
    <w:rsid w:val="00763446"/>
    <w:rsid w:val="007647DF"/>
    <w:rsid w:val="00767B09"/>
    <w:rsid w:val="0077681D"/>
    <w:rsid w:val="007808F1"/>
    <w:rsid w:val="007809B6"/>
    <w:rsid w:val="007809C7"/>
    <w:rsid w:val="00782D98"/>
    <w:rsid w:val="007A2866"/>
    <w:rsid w:val="007B588E"/>
    <w:rsid w:val="007C4A6E"/>
    <w:rsid w:val="007C6AAE"/>
    <w:rsid w:val="007C6E78"/>
    <w:rsid w:val="007D0616"/>
    <w:rsid w:val="007D1775"/>
    <w:rsid w:val="007D7467"/>
    <w:rsid w:val="007E156A"/>
    <w:rsid w:val="0081005B"/>
    <w:rsid w:val="00811194"/>
    <w:rsid w:val="008160F6"/>
    <w:rsid w:val="008242AB"/>
    <w:rsid w:val="0084138C"/>
    <w:rsid w:val="0085039B"/>
    <w:rsid w:val="008545CB"/>
    <w:rsid w:val="00864736"/>
    <w:rsid w:val="00872A6D"/>
    <w:rsid w:val="00873F09"/>
    <w:rsid w:val="008749D9"/>
    <w:rsid w:val="00894D66"/>
    <w:rsid w:val="008A6128"/>
    <w:rsid w:val="008C6699"/>
    <w:rsid w:val="008D4720"/>
    <w:rsid w:val="008E4477"/>
    <w:rsid w:val="008F4FD3"/>
    <w:rsid w:val="008F67FF"/>
    <w:rsid w:val="009113DC"/>
    <w:rsid w:val="009130B3"/>
    <w:rsid w:val="00914E67"/>
    <w:rsid w:val="009264AD"/>
    <w:rsid w:val="00931FA3"/>
    <w:rsid w:val="0093590D"/>
    <w:rsid w:val="00952F49"/>
    <w:rsid w:val="00954CF1"/>
    <w:rsid w:val="0098483E"/>
    <w:rsid w:val="00993CD4"/>
    <w:rsid w:val="00995A37"/>
    <w:rsid w:val="009962F2"/>
    <w:rsid w:val="009A1541"/>
    <w:rsid w:val="009B5DCD"/>
    <w:rsid w:val="009D5F38"/>
    <w:rsid w:val="009E445B"/>
    <w:rsid w:val="009F2F5D"/>
    <w:rsid w:val="009F3A5C"/>
    <w:rsid w:val="00A0101C"/>
    <w:rsid w:val="00A10A2F"/>
    <w:rsid w:val="00A13027"/>
    <w:rsid w:val="00A23BE9"/>
    <w:rsid w:val="00A26EAE"/>
    <w:rsid w:val="00A30CE3"/>
    <w:rsid w:val="00A36187"/>
    <w:rsid w:val="00A36A8B"/>
    <w:rsid w:val="00A72CB0"/>
    <w:rsid w:val="00A80BA9"/>
    <w:rsid w:val="00A87C6A"/>
    <w:rsid w:val="00A9047D"/>
    <w:rsid w:val="00A93D32"/>
    <w:rsid w:val="00AA2A2A"/>
    <w:rsid w:val="00AA63D9"/>
    <w:rsid w:val="00AB1174"/>
    <w:rsid w:val="00AC63C6"/>
    <w:rsid w:val="00AD1C4B"/>
    <w:rsid w:val="00AE33E8"/>
    <w:rsid w:val="00AE76B3"/>
    <w:rsid w:val="00B038F7"/>
    <w:rsid w:val="00B12366"/>
    <w:rsid w:val="00B17123"/>
    <w:rsid w:val="00B2304F"/>
    <w:rsid w:val="00B41181"/>
    <w:rsid w:val="00B46D19"/>
    <w:rsid w:val="00B53BE0"/>
    <w:rsid w:val="00B63CAC"/>
    <w:rsid w:val="00B66415"/>
    <w:rsid w:val="00B75D01"/>
    <w:rsid w:val="00B85CE0"/>
    <w:rsid w:val="00BA7708"/>
    <w:rsid w:val="00BB467A"/>
    <w:rsid w:val="00BB5BCA"/>
    <w:rsid w:val="00BC148D"/>
    <w:rsid w:val="00BC7BD3"/>
    <w:rsid w:val="00C07D0B"/>
    <w:rsid w:val="00C25492"/>
    <w:rsid w:val="00C37C59"/>
    <w:rsid w:val="00C43066"/>
    <w:rsid w:val="00C43D3B"/>
    <w:rsid w:val="00C44019"/>
    <w:rsid w:val="00C54FD6"/>
    <w:rsid w:val="00C7239F"/>
    <w:rsid w:val="00C73754"/>
    <w:rsid w:val="00C82AAF"/>
    <w:rsid w:val="00C8425D"/>
    <w:rsid w:val="00C84CDB"/>
    <w:rsid w:val="00C8541C"/>
    <w:rsid w:val="00C8549C"/>
    <w:rsid w:val="00CA274C"/>
    <w:rsid w:val="00CA38AD"/>
    <w:rsid w:val="00CA719D"/>
    <w:rsid w:val="00CB13B6"/>
    <w:rsid w:val="00CB5484"/>
    <w:rsid w:val="00CD00B3"/>
    <w:rsid w:val="00CD0182"/>
    <w:rsid w:val="00CD58BC"/>
    <w:rsid w:val="00CF0715"/>
    <w:rsid w:val="00CF43DC"/>
    <w:rsid w:val="00D024B4"/>
    <w:rsid w:val="00D3768D"/>
    <w:rsid w:val="00D40E6D"/>
    <w:rsid w:val="00D43D6A"/>
    <w:rsid w:val="00D52B3A"/>
    <w:rsid w:val="00D54AE1"/>
    <w:rsid w:val="00D838A8"/>
    <w:rsid w:val="00D904E3"/>
    <w:rsid w:val="00DA4C2B"/>
    <w:rsid w:val="00DA6118"/>
    <w:rsid w:val="00DB07DB"/>
    <w:rsid w:val="00DB1CE1"/>
    <w:rsid w:val="00DB321D"/>
    <w:rsid w:val="00DC5091"/>
    <w:rsid w:val="00DE10C3"/>
    <w:rsid w:val="00DE34DE"/>
    <w:rsid w:val="00E05D96"/>
    <w:rsid w:val="00E17475"/>
    <w:rsid w:val="00E26F01"/>
    <w:rsid w:val="00E36D67"/>
    <w:rsid w:val="00E41D5E"/>
    <w:rsid w:val="00E548E0"/>
    <w:rsid w:val="00E6501B"/>
    <w:rsid w:val="00E710DC"/>
    <w:rsid w:val="00E73084"/>
    <w:rsid w:val="00E811D8"/>
    <w:rsid w:val="00E91DAD"/>
    <w:rsid w:val="00E92A81"/>
    <w:rsid w:val="00E95301"/>
    <w:rsid w:val="00EA2F48"/>
    <w:rsid w:val="00EA6CAA"/>
    <w:rsid w:val="00EB31DE"/>
    <w:rsid w:val="00EB35C3"/>
    <w:rsid w:val="00EC2A2D"/>
    <w:rsid w:val="00EC37C6"/>
    <w:rsid w:val="00EC388D"/>
    <w:rsid w:val="00EC6DF5"/>
    <w:rsid w:val="00ED1E8E"/>
    <w:rsid w:val="00ED2E82"/>
    <w:rsid w:val="00EE3172"/>
    <w:rsid w:val="00EF48E0"/>
    <w:rsid w:val="00EF7552"/>
    <w:rsid w:val="00EF7EF4"/>
    <w:rsid w:val="00F105B0"/>
    <w:rsid w:val="00F2763A"/>
    <w:rsid w:val="00F34A41"/>
    <w:rsid w:val="00F35494"/>
    <w:rsid w:val="00F3643E"/>
    <w:rsid w:val="00F404DB"/>
    <w:rsid w:val="00F41482"/>
    <w:rsid w:val="00F418D8"/>
    <w:rsid w:val="00F45BDE"/>
    <w:rsid w:val="00F517B6"/>
    <w:rsid w:val="00F56CBE"/>
    <w:rsid w:val="00F644EA"/>
    <w:rsid w:val="00F64A14"/>
    <w:rsid w:val="00F6616B"/>
    <w:rsid w:val="00F772CB"/>
    <w:rsid w:val="00F902AD"/>
    <w:rsid w:val="00F90DC1"/>
    <w:rsid w:val="00FB36A3"/>
    <w:rsid w:val="00FD4A33"/>
    <w:rsid w:val="00FE6C88"/>
    <w:rsid w:val="00FE73F7"/>
    <w:rsid w:val="00FF459E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670B1003"/>
  <w15:docId w15:val="{6E3341B2-AB59-4360-ADAB-68836FB9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46D1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653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aliases w:val="Strip,H&amp;P List Paragraph,2"/>
    <w:basedOn w:val="Normal"/>
    <w:link w:val="ListParagraphChar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paragraph" w:styleId="Header">
    <w:name w:val="header"/>
    <w:basedOn w:val="Normal"/>
    <w:link w:val="Head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E744E"/>
    <w:rPr>
      <w:sz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744E"/>
    <w:rPr>
      <w:sz w:val="24"/>
      <w:lang w:val="lv-LV" w:eastAsia="lv-LV"/>
    </w:rPr>
  </w:style>
  <w:style w:type="paragraph" w:styleId="BalloonText">
    <w:name w:val="Balloon Text"/>
    <w:basedOn w:val="Normal"/>
    <w:link w:val="BalloonTextChar"/>
    <w:rsid w:val="002E7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744E"/>
    <w:rPr>
      <w:rFonts w:ascii="Tahoma" w:hAnsi="Tahoma" w:cs="Tahoma"/>
      <w:sz w:val="16"/>
      <w:szCs w:val="16"/>
      <w:lang w:val="lv-LV" w:eastAsia="lv-LV"/>
    </w:rPr>
  </w:style>
  <w:style w:type="character" w:customStyle="1" w:styleId="Heading1Char">
    <w:name w:val="Heading 1 Char"/>
    <w:link w:val="Heading1"/>
    <w:rsid w:val="00B46D1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B46D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yperlink">
    <w:name w:val="Hyperlink"/>
    <w:uiPriority w:val="99"/>
    <w:unhideWhenUsed/>
    <w:rsid w:val="009F3A5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9F3A5C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rsid w:val="009F3A5C"/>
    <w:rPr>
      <w:sz w:val="24"/>
    </w:rPr>
  </w:style>
  <w:style w:type="character" w:customStyle="1" w:styleId="ListParagraphChar">
    <w:name w:val="List Paragraph Char"/>
    <w:aliases w:val="Strip Char,H&amp;P List Paragraph Char,2 Char"/>
    <w:link w:val="ListParagraph"/>
    <w:uiPriority w:val="99"/>
    <w:locked/>
    <w:rsid w:val="002E0BE8"/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E0BE8"/>
    <w:rPr>
      <w:sz w:val="24"/>
    </w:rPr>
  </w:style>
  <w:style w:type="character" w:styleId="CommentReference">
    <w:name w:val="annotation reference"/>
    <w:rsid w:val="00371E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1E4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71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2807</Words>
  <Characters>1601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Liene Logina</dc:creator>
  <cp:keywords/>
  <cp:lastModifiedBy>Elita Kalniņa</cp:lastModifiedBy>
  <cp:revision>3</cp:revision>
  <cp:lastPrinted>2023-02-09T12:34:00Z</cp:lastPrinted>
  <dcterms:created xsi:type="dcterms:W3CDTF">2023-02-09T12:36:00Z</dcterms:created>
  <dcterms:modified xsi:type="dcterms:W3CDTF">2023-02-20T09:16:00Z</dcterms:modified>
</cp:coreProperties>
</file>